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retributiereglement Gemeenschapscentrum Den Dries.</w:t>
      </w:r>
      <w:r w:rsidRPr="001C4A79">
        <w:rPr>
          <w:b/>
          <w:noProof/>
        </w:rPr>
        <w:t xml:space="preserve"> (</w:t>
      </w:r>
      <w:r w:rsidRPr="001C4A79">
        <w:rPr>
          <w:b/>
          <w:noProof/>
        </w:rPr>
        <w:t>GR/2021/135</w:t>
      </w:r>
      <w:r w:rsidRPr="001C4A79">
        <w:rPr>
          <w:b/>
          <w:noProof/>
        </w:rPr>
        <w:t>)</w:t>
      </w:r>
    </w:p>
    <w:p w:rsidR="00C02925" w:rsidRPr="00FC3E79" w:rsidP="002A2AC0" w14:paraId="244E87AB" w14:textId="77777777">
      <w:pPr>
        <w:jc w:val="both"/>
      </w:pPr>
      <w:r>
        <w:rPr>
          <w:noProof/>
        </w:rPr>
        <w:t>Juridische grond</w:t>
      </w:r>
    </w:p>
    <w:p w:rsidP="002A2AC0">
      <w:pPr>
        <w:jc w:val="both"/>
        <w:rPr>
          <w:noProof/>
        </w:rPr>
      </w:pPr>
      <w:r>
        <w:rPr>
          <w:noProof/>
        </w:rPr>
        <w:t>Het decreet lokaal bestuur van 22 december 2017.</w:t>
      </w:r>
    </w:p>
    <w:p w:rsidR="00C02925" w:rsidRPr="00FC3E79" w:rsidP="002A2AC0" w14:paraId="73B776CC" w14:textId="77777777">
      <w:pPr>
        <w:jc w:val="both"/>
      </w:pPr>
      <w:r>
        <w:rPr>
          <w:noProof/>
        </w:rPr>
        <w:t>Feiten en context</w:t>
      </w:r>
    </w:p>
    <w:p w:rsidP="002A2AC0">
      <w:pPr>
        <w:jc w:val="both"/>
        <w:rPr>
          <w:noProof/>
        </w:rPr>
      </w:pPr>
      <w:r>
        <w:rPr>
          <w:noProof/>
        </w:rPr>
        <w:t>De gemeenteraad dient jaarlijks de tarieven vast te stellen van de retributie voor het gebruik van gemeenschapscentrum Den Dries.</w:t>
      </w:r>
    </w:p>
    <w:p w:rsidP="002A2AC0">
      <w:pPr>
        <w:jc w:val="both"/>
        <w:rPr>
          <w:noProof/>
        </w:rPr>
      </w:pPr>
      <w:r>
        <w:rPr>
          <w:noProof/>
        </w:rPr>
        <w:t>Het is aangewezen dat gebruikers van GC Den Dries, met het oog op een goede financiële planning, zekerheid hebben over de tarieven voor de ganse duur van hun werkingsjaar;</w:t>
      </w:r>
    </w:p>
    <w:p w:rsidP="002A2AC0">
      <w:pPr>
        <w:jc w:val="both"/>
        <w:rPr>
          <w:noProof/>
        </w:rPr>
      </w:pPr>
      <w:r>
        <w:rPr>
          <w:noProof/>
        </w:rPr>
        <w:t>Overwegende dat deze belasting jaarlijks wordt geïndexeerd als volgt: </w:t>
      </w:r>
    </w:p>
    <w:p w:rsidP="002A2AC0">
      <w:pPr>
        <w:jc w:val="center"/>
        <w:rPr>
          <w:noProof/>
        </w:rPr>
      </w:pPr>
      <w:r>
        <w:rPr>
          <w:noProof/>
          <w:u w:val="single"/>
        </w:rPr>
        <w:t>Basisbedrag 2014 x index september van het jaar voorafgaand aan het belastingsjaar</w:t>
      </w:r>
    </w:p>
    <w:p w:rsidP="002A2AC0">
      <w:pPr>
        <w:jc w:val="center"/>
        <w:rPr>
          <w:noProof/>
        </w:rPr>
      </w:pPr>
      <w:r>
        <w:rPr>
          <w:noProof/>
        </w:rPr>
        <w:t>Index september 2013</w:t>
      </w:r>
    </w:p>
    <w:p w:rsidR="00C02925" w:rsidP="002A2AC0" w14:paraId="60555B7B" w14:textId="77777777">
      <w:pPr>
        <w:jc w:val="both"/>
        <w:rPr>
          <w:noProof/>
        </w:rPr>
      </w:pPr>
      <w:r>
        <w:rPr>
          <w:noProof/>
        </w:rPr>
        <w:t>Motivatie</w:t>
      </w:r>
    </w:p>
    <w:p w:rsidP="002A2AC0">
      <w:pPr>
        <w:jc w:val="both"/>
        <w:rPr>
          <w:noProof/>
        </w:rPr>
      </w:pPr>
      <w:r>
        <w:rPr>
          <w:noProof/>
        </w:rPr>
        <w:t>De gemeenteraad vindt het aangewezen dat er een onderscheid dient gemaakt te worden tussen erkende verenigingen en andere verenigingen aangezien de eersten aan een aantal kwalitatieve voorwaarden dienen te beantwoorden;</w:t>
      </w:r>
    </w:p>
    <w:p w:rsidP="002A2AC0">
      <w:pPr>
        <w:jc w:val="both"/>
        <w:rPr>
          <w:noProof/>
        </w:rPr>
      </w:pPr>
      <w:r>
        <w:rPr>
          <w:noProof/>
        </w:rPr>
        <w:t>De gemeenteraad vindt het bovendien billijk dat er een onderscheid gemaakt wordt tussen verenigingen van Retie en buitendorpse verenigingen aangezien de eersten reeds door de gemeentebelasting bijgedragen hebben tot de infrastructuur;</w:t>
      </w:r>
    </w:p>
    <w:p w:rsidP="002A2AC0">
      <w:pPr>
        <w:jc w:val="both"/>
        <w:rPr>
          <w:noProof/>
        </w:rPr>
      </w:pPr>
      <w:r>
        <w:rPr>
          <w:noProof/>
        </w:rPr>
        <w:t>Tot slot acht de gemeenteraad het aangewezen dat er een onderscheid gemaakt wordt tussen de verenigingen en commerciële organisaties aangezien de eersten een maatschappelijke meerwaarde bijbrengen;</w:t>
      </w:r>
    </w:p>
    <w:p w:rsidR="00C02925" w:rsidRPr="00FC3E79" w:rsidP="002A2AC0" w14:paraId="0EAA0B81" w14:textId="77EFE38E">
      <w:pPr>
        <w:jc w:val="both"/>
      </w:pPr>
      <w:r>
        <w:rPr>
          <w:noProof/>
        </w:rPr>
        <w:t>BESLUIT</w:t>
      </w:r>
    </w:p>
    <w:p w:rsidP="002A2AC0">
      <w:pPr>
        <w:jc w:val="both"/>
        <w:rPr>
          <w:noProof/>
        </w:rPr>
      </w:pPr>
      <w:r>
        <w:rPr>
          <w:noProof/>
        </w:rPr>
        <w:t>met 11 stemmen voor (Nieuw Retie), 8 stemmen tegen (CD&amp;V) en 2 onthoudingen (NVA)</w:t>
      </w:r>
    </w:p>
    <w:p w:rsidP="002A2AC0">
      <w:pPr>
        <w:jc w:val="both"/>
        <w:rPr>
          <w:noProof/>
        </w:rPr>
      </w:pPr>
      <w:r>
        <w:rPr>
          <w:noProof/>
          <w:u w:val="single"/>
        </w:rPr>
        <w:t>Artikel 1</w:t>
      </w:r>
      <w:r>
        <w:rPr>
          <w:noProof/>
        </w:rPr>
        <w:t>:     </w:t>
      </w:r>
    </w:p>
    <w:p w:rsidP="002A2AC0">
      <w:pPr>
        <w:jc w:val="both"/>
        <w:rPr>
          <w:noProof/>
        </w:rPr>
      </w:pPr>
      <w:r>
        <w:rPr>
          <w:noProof/>
        </w:rPr>
        <w:t>Voor de periode van 1 juli 2022 tot en met 31 december 2022 worden volgende retributies vastgesteld voor het gebruik van de lokalen van Gemeenschapscentrum Den Dries. GC Den Dries omvat volgende gebouwen:</w:t>
      </w:r>
    </w:p>
    <w:p w:rsidP="002A2AC0">
      <w:pPr>
        <w:jc w:val="both"/>
        <w:rPr>
          <w:noProof/>
        </w:rPr>
      </w:pPr>
      <w:r>
        <w:rPr>
          <w:noProof/>
        </w:rPr>
        <w:t>Den Dries, gelegen Kerkhofstraat 37, 2470 Retie</w:t>
      </w:r>
    </w:p>
    <w:p w:rsidP="002A2AC0">
      <w:pPr>
        <w:jc w:val="both"/>
        <w:rPr>
          <w:noProof/>
        </w:rPr>
      </w:pPr>
      <w:r>
        <w:rPr>
          <w:noProof/>
        </w:rPr>
        <w:t>De Vest, gelegen Passtraat 14, 2470 Retie</w:t>
      </w:r>
    </w:p>
    <w:p w:rsidP="002A2AC0">
      <w:pPr>
        <w:jc w:val="both"/>
        <w:rPr>
          <w:noProof/>
        </w:rPr>
      </w:pPr>
      <w:r>
        <w:rPr>
          <w:noProof/>
        </w:rPr>
        <w:t>Refter gemeentelijke basisschool Schoonbroek, Schoolstraat 4, 2470 Retie</w:t>
      </w:r>
    </w:p>
    <w:p w:rsidP="002A2AC0">
      <w:pPr>
        <w:jc w:val="both"/>
        <w:rPr>
          <w:noProof/>
        </w:rPr>
      </w:pPr>
      <w:r>
        <w:rPr>
          <w:noProof/>
          <w:u w:val="single"/>
        </w:rPr>
        <w:t>Artikel 2</w:t>
      </w:r>
      <w:r>
        <w:rPr>
          <w:noProof/>
        </w:rPr>
        <w:t>:     </w:t>
      </w:r>
    </w:p>
    <w:p w:rsidP="002A2AC0">
      <w:pPr>
        <w:jc w:val="both"/>
        <w:rPr>
          <w:noProof/>
        </w:rPr>
      </w:pPr>
      <w:r>
        <w:rPr>
          <w:noProof/>
        </w:rPr>
        <w:t>§1. Er zijn 5 gebruikersgroepen die onder verschillende tarieven vallen. De gevraagde toegangsgelden en de aard van de activiteit spelen een rol in de berekening van de verschillende tarieven.</w:t>
      </w:r>
    </w:p>
    <w:p w:rsidP="002A2AC0">
      <w:pPr>
        <w:pBdr>
          <w:left w:val="none" w:sz="0" w:space="22" w:color="auto"/>
        </w:pBdr>
        <w:ind w:left="450"/>
        <w:jc w:val="both"/>
        <w:rPr>
          <w:noProof/>
        </w:rPr>
      </w:pPr>
      <w:r>
        <w:rPr>
          <w:noProof/>
        </w:rPr>
        <w:t>Categorie A: gemeentelijke diensten en gemeentelijke adviesraden (voor activiteiten die door de adviesraad zelf georganiseerd worden)</w:t>
      </w:r>
    </w:p>
    <w:p w:rsidP="002A2AC0">
      <w:pPr>
        <w:pBdr>
          <w:left w:val="none" w:sz="0" w:space="22" w:color="auto"/>
        </w:pBdr>
        <w:ind w:left="450"/>
        <w:jc w:val="both"/>
        <w:rPr>
          <w:noProof/>
        </w:rPr>
      </w:pPr>
      <w:r>
        <w:rPr>
          <w:noProof/>
        </w:rPr>
        <w:t>Categorie B: Verenigingen met zetel in Retie die erkend zijn door het college van burgemeester en schepenen.</w:t>
      </w:r>
    </w:p>
    <w:p w:rsidP="002A2AC0">
      <w:pPr>
        <w:pBdr>
          <w:left w:val="none" w:sz="0" w:space="22" w:color="auto"/>
        </w:pBdr>
        <w:ind w:left="450"/>
        <w:jc w:val="both"/>
        <w:rPr>
          <w:noProof/>
        </w:rPr>
      </w:pPr>
      <w:r>
        <w:rPr>
          <w:noProof/>
        </w:rPr>
        <w:t>Categorie C: Verenigingen met zetel in Retie die niet erkend zijn door het college van burgemeester en schepenen.</w:t>
      </w:r>
    </w:p>
    <w:p w:rsidP="002A2AC0">
      <w:pPr>
        <w:pBdr>
          <w:left w:val="none" w:sz="0" w:space="22" w:color="auto"/>
        </w:pBdr>
        <w:ind w:left="450"/>
        <w:jc w:val="both"/>
        <w:rPr>
          <w:noProof/>
        </w:rPr>
      </w:pPr>
      <w:r>
        <w:rPr>
          <w:noProof/>
        </w:rPr>
        <w:t>Categorie D: Particulieren die in Retie gedomicilieerd zijn.</w:t>
      </w:r>
    </w:p>
    <w:p w:rsidP="002A2AC0">
      <w:pPr>
        <w:pBdr>
          <w:left w:val="none" w:sz="0" w:space="22" w:color="auto"/>
        </w:pBdr>
        <w:ind w:left="450"/>
        <w:jc w:val="both"/>
        <w:rPr>
          <w:noProof/>
        </w:rPr>
      </w:pPr>
      <w:r>
        <w:rPr>
          <w:noProof/>
        </w:rPr>
        <w:t>Categorie E: Commerciële instellingen, niet-Retiese verenigingen en niet-Retiese particulieren.</w:t>
      </w:r>
    </w:p>
    <w:p w:rsidP="002A2AC0">
      <w:pPr>
        <w:jc w:val="both"/>
        <w:rPr>
          <w:noProof/>
        </w:rPr>
      </w:pPr>
      <w:r>
        <w:rPr>
          <w:noProof/>
        </w:rPr>
        <w:t>§2. De terbeschikkingstelling van het lokaal geldt voor de volledige periode van de activiteit. De perioden die eventueel nodig zijn voor het opstellen en het opruimen dienen eveneens gereserveerd te worden en worden aan een aangepast tarief ter beschikking gesteld.</w:t>
      </w:r>
    </w:p>
    <w:p w:rsidP="002A2AC0">
      <w:pPr>
        <w:jc w:val="both"/>
        <w:rPr>
          <w:noProof/>
        </w:rPr>
      </w:pPr>
      <w:r>
        <w:rPr>
          <w:noProof/>
        </w:rPr>
        <w:t>§3. De gebruiker kan gratis over de ruimte waar de tentoonstelling doorgaat beschikken voor vier dagdelen voor de opening van de tentoonstelling, behoudens oudere reserveringen.</w:t>
      </w:r>
    </w:p>
    <w:p w:rsidP="002A2AC0">
      <w:pPr>
        <w:jc w:val="both"/>
        <w:rPr>
          <w:noProof/>
        </w:rPr>
      </w:pPr>
      <w:r>
        <w:rPr>
          <w:noProof/>
        </w:rPr>
        <w:t>§4. Verenigingen kunnen voor eigen optredens in GC Den Dries voor drie repetities (3 dagdelen) gratis beschikken over de ruimte waarin de voorstelling doorgaat, behoudens oudere reserveringen.</w:t>
      </w:r>
    </w:p>
    <w:p w:rsidP="002A2AC0">
      <w:pPr>
        <w:jc w:val="both"/>
        <w:rPr>
          <w:noProof/>
        </w:rPr>
      </w:pPr>
      <w:r>
        <w:rPr>
          <w:noProof/>
        </w:rPr>
        <w:t>§5. De dagdelen waarop de activiteit plaatsvindt, worden ter beschikking gesteld aan het volledige tarief. Aansluitende dagdelen waarop de activiteit niet plaatsvindt, maar waarop het lokaal toch niet toegankelijk is voor andere gebruikers, kunnen ter beschikking gesteld worden aan het tarief voor opstellen en afbreken en stockeren van materiaal.</w:t>
      </w:r>
    </w:p>
    <w:p w:rsidP="002A2AC0">
      <w:pPr>
        <w:jc w:val="both"/>
        <w:rPr>
          <w:noProof/>
        </w:rPr>
      </w:pPr>
      <w:r>
        <w:rPr>
          <w:noProof/>
        </w:rPr>
        <w:t>§6. Gebruikers uit de categorieën A en B kunnen een meervoudige reservering bekomen wanneer ze tussen 15 en 30 juni een aanvraag indienen om ten minste 20 dagdelen gebruik te maken van de lokalen van GC Den Dries voor eenzelfde type activiteit gedurende het volgende werkjaar. In dat geval zal een reductie verleend worden van 25%. Ook wanneer er tijdens het lopende werkjaar nog extra dagdelen gereserveerd worden, zal de gebruiker kunnen genieten van deze 25% reductie. Dagdelen die gebruikt worden voor het opstellen, afbreken of stockeren van materiaal, komen niet in aanmerking voor deze reductie.</w:t>
      </w:r>
    </w:p>
    <w:p w:rsidP="002A2AC0">
      <w:pPr>
        <w:jc w:val="both"/>
        <w:rPr>
          <w:noProof/>
        </w:rPr>
      </w:pPr>
      <w:r>
        <w:rPr>
          <w:noProof/>
        </w:rPr>
        <w:t>Van vrijdagavond tot en met zondagavond kunnen er geen meervoudige reserveringen genomen worden in de lokalen van GC Den Dries. Voor De Vest kunnen er tijdens de weekends wel meervoudige reserveringen genomen worden.</w:t>
      </w:r>
    </w:p>
    <w:p w:rsidP="002A2AC0">
      <w:pPr>
        <w:jc w:val="both"/>
        <w:rPr>
          <w:noProof/>
        </w:rPr>
      </w:pPr>
      <w:r>
        <w:rPr>
          <w:noProof/>
          <w:u w:val="single"/>
        </w:rPr>
        <w:t>Artikel 3</w:t>
      </w:r>
      <w:r>
        <w:rPr>
          <w:noProof/>
        </w:rPr>
        <w:t>:     </w:t>
      </w:r>
    </w:p>
    <w:p w:rsidP="002A2AC0">
      <w:pPr>
        <w:jc w:val="both"/>
        <w:rPr>
          <w:noProof/>
        </w:rPr>
      </w:pPr>
      <w:r>
        <w:rPr>
          <w:noProof/>
        </w:rPr>
        <w:t xml:space="preserve">Voor de periode van </w:t>
      </w:r>
      <w:r>
        <w:rPr>
          <w:b/>
          <w:bCs/>
          <w:noProof/>
        </w:rPr>
        <w:t>1 januari 2022 tot en met 30 juni 2022</w:t>
      </w:r>
      <w:r>
        <w:rPr>
          <w:noProof/>
        </w:rPr>
        <w:t> zullen volgende tarieven per dagdeel gelden:</w:t>
      </w:r>
    </w:p>
    <w:p w:rsidP="002A2AC0">
      <w:pPr>
        <w:jc w:val="both"/>
        <w:rPr>
          <w:noProof/>
        </w:rPr>
      </w:pPr>
      <w:r>
        <w:rPr>
          <w:noProof/>
        </w:rPr>
        <w:t>§1. Lokalen Den Dries</w:t>
      </w:r>
    </w:p>
    <w:tbl>
      <w:tblPr>
        <w:tblStyle w:val="table"/>
        <w:tblCellMar>
          <w:top w:w="0" w:type="dxa"/>
          <w:left w:w="0" w:type="dxa"/>
          <w:bottom w:w="0" w:type="dxa"/>
          <w:right w:w="0" w:type="dxa"/>
        </w:tblCellMar>
        <w:tblLook w:val="05E0"/>
      </w:tblPr>
      <w:tblGrid>
        <w:gridCol w:w="4008"/>
        <w:gridCol w:w="1032"/>
      </w:tblGrid>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b/>
                <w:bCs/>
                <w:noProof/>
              </w:rPr>
              <w:t>Podiumzaal</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30" w:type="dxa"/>
            <w:noWrap w:val="0"/>
            <w:tcMar>
              <w:top w:w="0" w:type="dxa"/>
              <w:left w:w="0" w:type="dxa"/>
              <w:bottom w:w="0" w:type="dxa"/>
              <w:right w:w="0" w:type="dxa"/>
            </w:tcMar>
            <w:vAlign w:val="bottom"/>
            <w:hideMark/>
          </w:tcPr>
          <w:p w:rsidP="002A2AC0">
            <w:pPr>
              <w:jc w:val="right"/>
              <w:rPr>
                <w:noProof/>
              </w:rPr>
            </w:pPr>
            <w:r>
              <w:rPr>
                <w:noProof/>
              </w:rPr>
              <w:t>129,00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feesttarief</w:t>
            </w:r>
          </w:p>
        </w:tc>
        <w:tc>
          <w:tcPr>
            <w:tcW w:w="1030" w:type="dxa"/>
            <w:noWrap w:val="0"/>
            <w:tcMar>
              <w:top w:w="0" w:type="dxa"/>
              <w:left w:w="0" w:type="dxa"/>
              <w:bottom w:w="0" w:type="dxa"/>
              <w:right w:w="0" w:type="dxa"/>
            </w:tcMar>
            <w:vAlign w:val="bottom"/>
            <w:hideMark/>
          </w:tcPr>
          <w:p w:rsidP="002A2AC0">
            <w:pPr>
              <w:jc w:val="right"/>
              <w:rPr>
                <w:noProof/>
              </w:rPr>
            </w:pPr>
            <w:r>
              <w:rPr>
                <w:noProof/>
              </w:rPr>
              <w:t>257,99</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fuiftarief</w:t>
            </w:r>
          </w:p>
        </w:tc>
        <w:tc>
          <w:tcPr>
            <w:tcW w:w="1030" w:type="dxa"/>
            <w:noWrap w:val="0"/>
            <w:tcMar>
              <w:top w:w="0" w:type="dxa"/>
              <w:left w:w="0" w:type="dxa"/>
              <w:bottom w:w="0" w:type="dxa"/>
              <w:right w:w="0" w:type="dxa"/>
            </w:tcMar>
            <w:vAlign w:val="bottom"/>
            <w:hideMark/>
          </w:tcPr>
          <w:p w:rsidP="002A2AC0">
            <w:pPr>
              <w:jc w:val="right"/>
              <w:rPr>
                <w:noProof/>
              </w:rPr>
            </w:pPr>
            <w:r>
              <w:rPr>
                <w:noProof/>
              </w:rPr>
              <w:t>515,99</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30" w:type="dxa"/>
            <w:noWrap w:val="0"/>
            <w:tcMar>
              <w:top w:w="0" w:type="dxa"/>
              <w:left w:w="0" w:type="dxa"/>
              <w:bottom w:w="0" w:type="dxa"/>
              <w:right w:w="0" w:type="dxa"/>
            </w:tcMar>
            <w:vAlign w:val="bottom"/>
            <w:hideMark/>
          </w:tcPr>
          <w:p w:rsidP="002A2AC0">
            <w:pPr>
              <w:jc w:val="right"/>
              <w:rPr>
                <w:noProof/>
              </w:rPr>
            </w:pPr>
            <w:r>
              <w:rPr>
                <w:noProof/>
              </w:rPr>
              <w:t>25,80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 </w:t>
            </w:r>
          </w:p>
        </w:tc>
        <w:tc>
          <w:tcPr>
            <w:tcW w:w="1030" w:type="dxa"/>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b/>
                <w:bCs/>
                <w:noProof/>
              </w:rPr>
              <w:t>Kleine zaal</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30" w:type="dxa"/>
            <w:noWrap w:val="0"/>
            <w:tcMar>
              <w:top w:w="0" w:type="dxa"/>
              <w:left w:w="0" w:type="dxa"/>
              <w:bottom w:w="0" w:type="dxa"/>
              <w:right w:w="0" w:type="dxa"/>
            </w:tcMar>
            <w:vAlign w:val="bottom"/>
            <w:hideMark/>
          </w:tcPr>
          <w:p w:rsidP="002A2AC0">
            <w:pPr>
              <w:jc w:val="right"/>
              <w:rPr>
                <w:noProof/>
              </w:rPr>
            </w:pPr>
            <w:r>
              <w:rPr>
                <w:noProof/>
              </w:rPr>
              <w:t>51,60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feesttarief</w:t>
            </w:r>
          </w:p>
        </w:tc>
        <w:tc>
          <w:tcPr>
            <w:tcW w:w="1030" w:type="dxa"/>
            <w:noWrap w:val="0"/>
            <w:tcMar>
              <w:top w:w="0" w:type="dxa"/>
              <w:left w:w="0" w:type="dxa"/>
              <w:bottom w:w="0" w:type="dxa"/>
              <w:right w:w="0" w:type="dxa"/>
            </w:tcMar>
            <w:vAlign w:val="bottom"/>
            <w:hideMark/>
          </w:tcPr>
          <w:p w:rsidP="002A2AC0">
            <w:pPr>
              <w:jc w:val="right"/>
              <w:rPr>
                <w:noProof/>
              </w:rPr>
            </w:pPr>
            <w:r>
              <w:rPr>
                <w:noProof/>
              </w:rPr>
              <w:t>129,00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fuiftarief</w:t>
            </w:r>
          </w:p>
        </w:tc>
        <w:tc>
          <w:tcPr>
            <w:tcW w:w="1030" w:type="dxa"/>
            <w:noWrap w:val="0"/>
            <w:tcMar>
              <w:top w:w="0" w:type="dxa"/>
              <w:left w:w="0" w:type="dxa"/>
              <w:bottom w:w="0" w:type="dxa"/>
              <w:right w:w="0" w:type="dxa"/>
            </w:tcMar>
            <w:vAlign w:val="bottom"/>
            <w:hideMark/>
          </w:tcPr>
          <w:p w:rsidP="002A2AC0">
            <w:pPr>
              <w:jc w:val="right"/>
              <w:rPr>
                <w:noProof/>
              </w:rPr>
            </w:pPr>
            <w:r>
              <w:rPr>
                <w:noProof/>
              </w:rPr>
              <w:t>193,50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30" w:type="dxa"/>
            <w:noWrap w:val="0"/>
            <w:tcMar>
              <w:top w:w="0" w:type="dxa"/>
              <w:left w:w="0" w:type="dxa"/>
              <w:bottom w:w="0" w:type="dxa"/>
              <w:right w:w="0" w:type="dxa"/>
            </w:tcMar>
            <w:vAlign w:val="bottom"/>
            <w:hideMark/>
          </w:tcPr>
          <w:p w:rsidP="002A2AC0">
            <w:pPr>
              <w:jc w:val="right"/>
              <w:rPr>
                <w:noProof/>
              </w:rPr>
            </w:pPr>
            <w:r>
              <w:rPr>
                <w:noProof/>
              </w:rPr>
              <w:t>25,80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 </w:t>
            </w:r>
          </w:p>
        </w:tc>
        <w:tc>
          <w:tcPr>
            <w:tcW w:w="1030" w:type="dxa"/>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b/>
                <w:bCs/>
                <w:noProof/>
              </w:rPr>
              <w:t>Vergaderlokaal</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30" w:type="dxa"/>
            <w:noWrap w:val="0"/>
            <w:tcMar>
              <w:top w:w="0" w:type="dxa"/>
              <w:left w:w="0" w:type="dxa"/>
              <w:bottom w:w="0" w:type="dxa"/>
              <w:right w:w="0" w:type="dxa"/>
            </w:tcMar>
            <w:vAlign w:val="bottom"/>
            <w:hideMark/>
          </w:tcPr>
          <w:p w:rsidP="002A2AC0">
            <w:pPr>
              <w:jc w:val="right"/>
              <w:rPr>
                <w:noProof/>
              </w:rPr>
            </w:pPr>
            <w:r>
              <w:rPr>
                <w:noProof/>
              </w:rPr>
              <w:t>25,80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30" w:type="dxa"/>
            <w:noWrap w:val="0"/>
            <w:tcMar>
              <w:top w:w="0" w:type="dxa"/>
              <w:left w:w="0" w:type="dxa"/>
              <w:bottom w:w="0" w:type="dxa"/>
              <w:right w:w="0" w:type="dxa"/>
            </w:tcMar>
            <w:vAlign w:val="bottom"/>
            <w:hideMark/>
          </w:tcPr>
          <w:p w:rsidP="002A2AC0">
            <w:pPr>
              <w:jc w:val="right"/>
              <w:rPr>
                <w:noProof/>
              </w:rPr>
            </w:pPr>
            <w:r>
              <w:rPr>
                <w:noProof/>
              </w:rPr>
              <w:t>12,90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 </w:t>
            </w:r>
          </w:p>
        </w:tc>
        <w:tc>
          <w:tcPr>
            <w:tcW w:w="1030" w:type="dxa"/>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b/>
                <w:bCs/>
                <w:noProof/>
              </w:rPr>
              <w:t>Keuken</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30" w:type="dxa"/>
            <w:noWrap w:val="0"/>
            <w:tcMar>
              <w:top w:w="0" w:type="dxa"/>
              <w:left w:w="0" w:type="dxa"/>
              <w:bottom w:w="0" w:type="dxa"/>
              <w:right w:w="0" w:type="dxa"/>
            </w:tcMar>
            <w:vAlign w:val="bottom"/>
            <w:hideMark/>
          </w:tcPr>
          <w:p w:rsidP="002A2AC0">
            <w:pPr>
              <w:jc w:val="right"/>
              <w:rPr>
                <w:noProof/>
              </w:rPr>
            </w:pPr>
            <w:r>
              <w:rPr>
                <w:noProof/>
              </w:rPr>
              <w:t>38,70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feesttarief</w:t>
            </w:r>
          </w:p>
        </w:tc>
        <w:tc>
          <w:tcPr>
            <w:tcW w:w="1030" w:type="dxa"/>
            <w:noWrap w:val="0"/>
            <w:tcMar>
              <w:top w:w="0" w:type="dxa"/>
              <w:left w:w="0" w:type="dxa"/>
              <w:bottom w:w="0" w:type="dxa"/>
              <w:right w:w="0" w:type="dxa"/>
            </w:tcMar>
            <w:vAlign w:val="bottom"/>
            <w:hideMark/>
          </w:tcPr>
          <w:p w:rsidP="002A2AC0">
            <w:pPr>
              <w:jc w:val="right"/>
              <w:rPr>
                <w:noProof/>
              </w:rPr>
            </w:pPr>
            <w:r>
              <w:rPr>
                <w:noProof/>
              </w:rPr>
              <w:t>64,50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fuiftarief</w:t>
            </w:r>
          </w:p>
        </w:tc>
        <w:tc>
          <w:tcPr>
            <w:tcW w:w="1030" w:type="dxa"/>
            <w:noWrap w:val="0"/>
            <w:tcMar>
              <w:top w:w="0" w:type="dxa"/>
              <w:left w:w="0" w:type="dxa"/>
              <w:bottom w:w="0" w:type="dxa"/>
              <w:right w:w="0" w:type="dxa"/>
            </w:tcMar>
            <w:vAlign w:val="bottom"/>
            <w:hideMark/>
          </w:tcPr>
          <w:p w:rsidP="002A2AC0">
            <w:pPr>
              <w:jc w:val="right"/>
              <w:rPr>
                <w:noProof/>
              </w:rPr>
            </w:pPr>
            <w:r>
              <w:rPr>
                <w:noProof/>
              </w:rPr>
              <w:t>64,50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30" w:type="dxa"/>
            <w:noWrap w:val="0"/>
            <w:tcMar>
              <w:top w:w="0" w:type="dxa"/>
              <w:left w:w="0" w:type="dxa"/>
              <w:bottom w:w="0" w:type="dxa"/>
              <w:right w:w="0" w:type="dxa"/>
            </w:tcMar>
            <w:vAlign w:val="bottom"/>
            <w:hideMark/>
          </w:tcPr>
          <w:p w:rsidP="002A2AC0">
            <w:pPr>
              <w:jc w:val="right"/>
              <w:rPr>
                <w:noProof/>
              </w:rPr>
            </w:pPr>
            <w:r>
              <w:rPr>
                <w:noProof/>
              </w:rPr>
              <w:t>25,80</w:t>
            </w:r>
          </w:p>
        </w:tc>
      </w:tr>
    </w:tbl>
    <w:p w:rsidP="002A2AC0">
      <w:pPr>
        <w:jc w:val="both"/>
        <w:rPr>
          <w:noProof/>
        </w:rPr>
      </w:pPr>
      <w:r>
        <w:rPr>
          <w:noProof/>
        </w:rPr>
        <w:br/>
      </w:r>
      <w:r>
        <w:rPr>
          <w:noProof/>
        </w:rPr>
        <w:t>§2. De Vest</w:t>
      </w:r>
    </w:p>
    <w:tbl>
      <w:tblPr>
        <w:tblStyle w:val="table"/>
        <w:tblCellMar>
          <w:top w:w="0" w:type="dxa"/>
          <w:left w:w="0" w:type="dxa"/>
          <w:bottom w:w="0" w:type="dxa"/>
          <w:right w:w="0" w:type="dxa"/>
        </w:tblCellMar>
        <w:tblLook w:val="05E0"/>
      </w:tblPr>
      <w:tblGrid>
        <w:gridCol w:w="4008"/>
        <w:gridCol w:w="1092"/>
      </w:tblGrid>
      <w:tr>
        <w:tblPrEx>
          <w:tblCellMar>
            <w:top w:w="0" w:type="dxa"/>
            <w:left w:w="0" w:type="dxa"/>
            <w:bottom w:w="0" w:type="dxa"/>
            <w:right w:w="0" w:type="dxa"/>
          </w:tblCellMar>
          <w:tblLook w:val="05E0"/>
        </w:tblPrEx>
        <w:tc>
          <w:tcPr>
            <w:tcW w:w="5065" w:type="dxa"/>
            <w:gridSpan w:val="2"/>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90" w:type="dxa"/>
            <w:noWrap w:val="0"/>
            <w:tcMar>
              <w:top w:w="0" w:type="dxa"/>
              <w:left w:w="0" w:type="dxa"/>
              <w:bottom w:w="0" w:type="dxa"/>
              <w:right w:w="0" w:type="dxa"/>
            </w:tcMar>
            <w:vAlign w:val="bottom"/>
            <w:hideMark/>
          </w:tcPr>
          <w:p w:rsidP="002A2AC0">
            <w:pPr>
              <w:jc w:val="right"/>
              <w:rPr>
                <w:noProof/>
              </w:rPr>
            </w:pPr>
            <w:r>
              <w:rPr>
                <w:noProof/>
              </w:rPr>
              <w:t>25,80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feesttarief</w:t>
            </w:r>
          </w:p>
        </w:tc>
        <w:tc>
          <w:tcPr>
            <w:tcW w:w="1090" w:type="dxa"/>
            <w:noWrap w:val="0"/>
            <w:tcMar>
              <w:top w:w="0" w:type="dxa"/>
              <w:left w:w="0" w:type="dxa"/>
              <w:bottom w:w="0" w:type="dxa"/>
              <w:right w:w="0" w:type="dxa"/>
            </w:tcMar>
            <w:vAlign w:val="bottom"/>
            <w:hideMark/>
          </w:tcPr>
          <w:p w:rsidP="002A2AC0">
            <w:pPr>
              <w:jc w:val="right"/>
              <w:rPr>
                <w:noProof/>
              </w:rPr>
            </w:pPr>
            <w:r>
              <w:rPr>
                <w:noProof/>
              </w:rPr>
              <w:t>64,50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90" w:type="dxa"/>
            <w:noWrap w:val="0"/>
            <w:tcMar>
              <w:top w:w="0" w:type="dxa"/>
              <w:left w:w="0" w:type="dxa"/>
              <w:bottom w:w="0" w:type="dxa"/>
              <w:right w:w="0" w:type="dxa"/>
            </w:tcMar>
            <w:vAlign w:val="bottom"/>
            <w:hideMark/>
          </w:tcPr>
          <w:p w:rsidP="002A2AC0">
            <w:pPr>
              <w:jc w:val="right"/>
              <w:rPr>
                <w:noProof/>
              </w:rPr>
            </w:pPr>
            <w:r>
              <w:rPr>
                <w:noProof/>
              </w:rPr>
              <w:t>12,90</w:t>
            </w:r>
          </w:p>
        </w:tc>
      </w:tr>
    </w:tbl>
    <w:p w:rsidP="002A2AC0">
      <w:pPr>
        <w:jc w:val="both"/>
        <w:rPr>
          <w:noProof/>
        </w:rPr>
      </w:pPr>
      <w:r>
        <w:rPr>
          <w:noProof/>
        </w:rPr>
        <w:t>§3. Refter gemeentelijke basisschool Schoonbroek  </w:t>
      </w:r>
    </w:p>
    <w:tbl>
      <w:tblPr>
        <w:tblStyle w:val="table"/>
        <w:tblCellMar>
          <w:top w:w="0" w:type="dxa"/>
          <w:left w:w="0" w:type="dxa"/>
          <w:bottom w:w="0" w:type="dxa"/>
          <w:right w:w="0" w:type="dxa"/>
        </w:tblCellMar>
        <w:tblLook w:val="05E0"/>
      </w:tblPr>
      <w:tblGrid>
        <w:gridCol w:w="4008"/>
        <w:gridCol w:w="1032"/>
      </w:tblGrid>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30" w:type="dxa"/>
            <w:noWrap w:val="0"/>
            <w:tcMar>
              <w:top w:w="0" w:type="dxa"/>
              <w:left w:w="0" w:type="dxa"/>
              <w:bottom w:w="0" w:type="dxa"/>
              <w:right w:w="0" w:type="dxa"/>
            </w:tcMar>
            <w:vAlign w:val="bottom"/>
            <w:hideMark/>
          </w:tcPr>
          <w:p w:rsidP="002A2AC0">
            <w:pPr>
              <w:jc w:val="right"/>
              <w:rPr>
                <w:noProof/>
              </w:rPr>
            </w:pPr>
            <w:r>
              <w:rPr>
                <w:noProof/>
              </w:rPr>
              <w:t>77,39</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feesttarief</w:t>
            </w:r>
          </w:p>
        </w:tc>
        <w:tc>
          <w:tcPr>
            <w:tcW w:w="1030" w:type="dxa"/>
            <w:noWrap w:val="0"/>
            <w:tcMar>
              <w:top w:w="0" w:type="dxa"/>
              <w:left w:w="0" w:type="dxa"/>
              <w:bottom w:w="0" w:type="dxa"/>
              <w:right w:w="0" w:type="dxa"/>
            </w:tcMar>
            <w:vAlign w:val="bottom"/>
            <w:hideMark/>
          </w:tcPr>
          <w:p w:rsidP="002A2AC0">
            <w:pPr>
              <w:jc w:val="right"/>
              <w:rPr>
                <w:noProof/>
              </w:rPr>
            </w:pPr>
            <w:r>
              <w:rPr>
                <w:noProof/>
              </w:rPr>
              <w:t>154,80</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30" w:type="dxa"/>
            <w:noWrap w:val="0"/>
            <w:tcMar>
              <w:top w:w="0" w:type="dxa"/>
              <w:left w:w="0" w:type="dxa"/>
              <w:bottom w:w="0" w:type="dxa"/>
              <w:right w:w="0" w:type="dxa"/>
            </w:tcMar>
            <w:vAlign w:val="bottom"/>
            <w:hideMark/>
          </w:tcPr>
          <w:p w:rsidP="002A2AC0">
            <w:pPr>
              <w:jc w:val="right"/>
              <w:rPr>
                <w:noProof/>
              </w:rPr>
            </w:pPr>
            <w:r>
              <w:rPr>
                <w:noProof/>
              </w:rPr>
              <w:t>25,80</w:t>
            </w:r>
          </w:p>
          <w:p w:rsidP="002A2AC0">
            <w:pPr>
              <w:jc w:val="both"/>
              <w:rPr>
                <w:noProof/>
              </w:rPr>
            </w:pPr>
            <w:r>
              <w:rPr>
                <w:noProof/>
              </w:rPr>
              <w:t> </w:t>
            </w:r>
          </w:p>
        </w:tc>
      </w:tr>
    </w:tbl>
    <w:p w:rsidP="002A2AC0">
      <w:pPr>
        <w:jc w:val="both"/>
        <w:rPr>
          <w:noProof/>
        </w:rPr>
      </w:pPr>
      <w:r>
        <w:rPr>
          <w:noProof/>
        </w:rPr>
        <w:t>Voor de periode van </w:t>
      </w:r>
      <w:r>
        <w:rPr>
          <w:b/>
          <w:bCs/>
          <w:noProof/>
        </w:rPr>
        <w:t>1 juli 2022 tot en met 31 december 2022</w:t>
      </w:r>
      <w:r>
        <w:rPr>
          <w:noProof/>
        </w:rPr>
        <w:t> zullen volgende tarieven per dagdeel gelden: </w:t>
      </w:r>
    </w:p>
    <w:p w:rsidP="002A2AC0">
      <w:pPr>
        <w:jc w:val="both"/>
        <w:rPr>
          <w:noProof/>
        </w:rPr>
      </w:pPr>
      <w:r>
        <w:rPr>
          <w:noProof/>
        </w:rPr>
        <w:t>§1. Lokalen Den Dries</w:t>
      </w:r>
    </w:p>
    <w:tbl>
      <w:tblPr>
        <w:tblStyle w:val="table"/>
        <w:tblCellMar>
          <w:top w:w="0" w:type="dxa"/>
          <w:left w:w="0" w:type="dxa"/>
          <w:bottom w:w="0" w:type="dxa"/>
          <w:right w:w="0" w:type="dxa"/>
        </w:tblCellMar>
        <w:tblLook w:val="05E0"/>
      </w:tblPr>
      <w:tblGrid>
        <w:gridCol w:w="4008"/>
        <w:gridCol w:w="1032"/>
      </w:tblGrid>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b/>
                <w:bCs/>
                <w:noProof/>
              </w:rPr>
              <w:t>Podiumzaal</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30" w:type="dxa"/>
            <w:noWrap w:val="0"/>
            <w:tcMar>
              <w:top w:w="0" w:type="dxa"/>
              <w:left w:w="0" w:type="dxa"/>
              <w:bottom w:w="0" w:type="dxa"/>
              <w:right w:w="0" w:type="dxa"/>
            </w:tcMar>
            <w:vAlign w:val="bottom"/>
            <w:hideMark/>
          </w:tcPr>
          <w:p w:rsidP="002A2AC0">
            <w:pPr>
              <w:jc w:val="right"/>
              <w:rPr>
                <w:noProof/>
              </w:rPr>
            </w:pPr>
            <w:r>
              <w:rPr>
                <w:noProof/>
              </w:rPr>
              <w:t>131,95</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feesttarief</w:t>
            </w:r>
          </w:p>
        </w:tc>
        <w:tc>
          <w:tcPr>
            <w:tcW w:w="1030" w:type="dxa"/>
            <w:noWrap w:val="0"/>
            <w:tcMar>
              <w:top w:w="0" w:type="dxa"/>
              <w:left w:w="0" w:type="dxa"/>
              <w:bottom w:w="0" w:type="dxa"/>
              <w:right w:w="0" w:type="dxa"/>
            </w:tcMar>
            <w:vAlign w:val="bottom"/>
            <w:hideMark/>
          </w:tcPr>
          <w:p w:rsidP="002A2AC0">
            <w:pPr>
              <w:jc w:val="right"/>
              <w:rPr>
                <w:noProof/>
              </w:rPr>
            </w:pPr>
            <w:r>
              <w:rPr>
                <w:noProof/>
              </w:rPr>
              <w:t>263,89</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fuiftarief</w:t>
            </w:r>
          </w:p>
        </w:tc>
        <w:tc>
          <w:tcPr>
            <w:tcW w:w="1030" w:type="dxa"/>
            <w:noWrap w:val="0"/>
            <w:tcMar>
              <w:top w:w="0" w:type="dxa"/>
              <w:left w:w="0" w:type="dxa"/>
              <w:bottom w:w="0" w:type="dxa"/>
              <w:right w:w="0" w:type="dxa"/>
            </w:tcMar>
            <w:vAlign w:val="bottom"/>
            <w:hideMark/>
          </w:tcPr>
          <w:p w:rsidP="002A2AC0">
            <w:pPr>
              <w:jc w:val="right"/>
              <w:rPr>
                <w:noProof/>
              </w:rPr>
            </w:pPr>
            <w:r>
              <w:rPr>
                <w:noProof/>
              </w:rPr>
              <w:t>527,78</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30" w:type="dxa"/>
            <w:noWrap w:val="0"/>
            <w:tcMar>
              <w:top w:w="0" w:type="dxa"/>
              <w:left w:w="0" w:type="dxa"/>
              <w:bottom w:w="0" w:type="dxa"/>
              <w:right w:w="0" w:type="dxa"/>
            </w:tcMar>
            <w:vAlign w:val="bottom"/>
            <w:hideMark/>
          </w:tcPr>
          <w:p w:rsidP="002A2AC0">
            <w:pPr>
              <w:jc w:val="right"/>
              <w:rPr>
                <w:noProof/>
              </w:rPr>
            </w:pPr>
            <w:r>
              <w:rPr>
                <w:noProof/>
              </w:rPr>
              <w:t>26,39</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 </w:t>
            </w:r>
          </w:p>
        </w:tc>
        <w:tc>
          <w:tcPr>
            <w:tcW w:w="1030" w:type="dxa"/>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b/>
                <w:bCs/>
                <w:noProof/>
              </w:rPr>
              <w:t>Kleine zaal</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30" w:type="dxa"/>
            <w:noWrap w:val="0"/>
            <w:tcMar>
              <w:top w:w="0" w:type="dxa"/>
              <w:left w:w="0" w:type="dxa"/>
              <w:bottom w:w="0" w:type="dxa"/>
              <w:right w:w="0" w:type="dxa"/>
            </w:tcMar>
            <w:vAlign w:val="bottom"/>
            <w:hideMark/>
          </w:tcPr>
          <w:p w:rsidP="002A2AC0">
            <w:pPr>
              <w:jc w:val="right"/>
              <w:rPr>
                <w:noProof/>
              </w:rPr>
            </w:pPr>
            <w:r>
              <w:rPr>
                <w:noProof/>
              </w:rPr>
              <w:t>52,78</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feesttarief</w:t>
            </w:r>
          </w:p>
        </w:tc>
        <w:tc>
          <w:tcPr>
            <w:tcW w:w="1030" w:type="dxa"/>
            <w:noWrap w:val="0"/>
            <w:tcMar>
              <w:top w:w="0" w:type="dxa"/>
              <w:left w:w="0" w:type="dxa"/>
              <w:bottom w:w="0" w:type="dxa"/>
              <w:right w:w="0" w:type="dxa"/>
            </w:tcMar>
            <w:vAlign w:val="bottom"/>
            <w:hideMark/>
          </w:tcPr>
          <w:p w:rsidP="002A2AC0">
            <w:pPr>
              <w:jc w:val="right"/>
              <w:rPr>
                <w:noProof/>
              </w:rPr>
            </w:pPr>
            <w:r>
              <w:rPr>
                <w:noProof/>
              </w:rPr>
              <w:t>131,95</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fuiftarief</w:t>
            </w:r>
          </w:p>
        </w:tc>
        <w:tc>
          <w:tcPr>
            <w:tcW w:w="1030" w:type="dxa"/>
            <w:noWrap w:val="0"/>
            <w:tcMar>
              <w:top w:w="0" w:type="dxa"/>
              <w:left w:w="0" w:type="dxa"/>
              <w:bottom w:w="0" w:type="dxa"/>
              <w:right w:w="0" w:type="dxa"/>
            </w:tcMar>
            <w:vAlign w:val="bottom"/>
            <w:hideMark/>
          </w:tcPr>
          <w:p w:rsidP="002A2AC0">
            <w:pPr>
              <w:jc w:val="right"/>
              <w:rPr>
                <w:noProof/>
              </w:rPr>
            </w:pPr>
            <w:r>
              <w:rPr>
                <w:noProof/>
              </w:rPr>
              <w:t>197,92</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30" w:type="dxa"/>
            <w:noWrap w:val="0"/>
            <w:tcMar>
              <w:top w:w="0" w:type="dxa"/>
              <w:left w:w="0" w:type="dxa"/>
              <w:bottom w:w="0" w:type="dxa"/>
              <w:right w:w="0" w:type="dxa"/>
            </w:tcMar>
            <w:vAlign w:val="bottom"/>
            <w:hideMark/>
          </w:tcPr>
          <w:p w:rsidP="002A2AC0">
            <w:pPr>
              <w:jc w:val="right"/>
              <w:rPr>
                <w:noProof/>
              </w:rPr>
            </w:pPr>
            <w:r>
              <w:rPr>
                <w:noProof/>
              </w:rPr>
              <w:t>26,39</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 </w:t>
            </w:r>
          </w:p>
        </w:tc>
        <w:tc>
          <w:tcPr>
            <w:tcW w:w="1030" w:type="dxa"/>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b/>
                <w:bCs/>
                <w:noProof/>
              </w:rPr>
              <w:t>Vergaderlokaal</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30" w:type="dxa"/>
            <w:noWrap w:val="0"/>
            <w:tcMar>
              <w:top w:w="0" w:type="dxa"/>
              <w:left w:w="0" w:type="dxa"/>
              <w:bottom w:w="0" w:type="dxa"/>
              <w:right w:w="0" w:type="dxa"/>
            </w:tcMar>
            <w:vAlign w:val="bottom"/>
            <w:hideMark/>
          </w:tcPr>
          <w:p w:rsidP="002A2AC0">
            <w:pPr>
              <w:jc w:val="right"/>
              <w:rPr>
                <w:noProof/>
              </w:rPr>
            </w:pPr>
            <w:r>
              <w:rPr>
                <w:noProof/>
              </w:rPr>
              <w:t>26,39</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30" w:type="dxa"/>
            <w:noWrap w:val="0"/>
            <w:tcMar>
              <w:top w:w="0" w:type="dxa"/>
              <w:left w:w="0" w:type="dxa"/>
              <w:bottom w:w="0" w:type="dxa"/>
              <w:right w:w="0" w:type="dxa"/>
            </w:tcMar>
            <w:vAlign w:val="bottom"/>
            <w:hideMark/>
          </w:tcPr>
          <w:p w:rsidP="002A2AC0">
            <w:pPr>
              <w:jc w:val="right"/>
              <w:rPr>
                <w:noProof/>
              </w:rPr>
            </w:pPr>
            <w:r>
              <w:rPr>
                <w:noProof/>
              </w:rPr>
              <w:t>13,19</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 </w:t>
            </w:r>
          </w:p>
        </w:tc>
        <w:tc>
          <w:tcPr>
            <w:tcW w:w="1030" w:type="dxa"/>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4000" w:type="dxa"/>
            <w:gridSpan w:val="2"/>
            <w:noWrap w:val="0"/>
            <w:tcMar>
              <w:top w:w="0" w:type="dxa"/>
              <w:left w:w="0" w:type="dxa"/>
              <w:bottom w:w="0" w:type="dxa"/>
              <w:right w:w="0" w:type="dxa"/>
            </w:tcMar>
            <w:vAlign w:val="top"/>
            <w:hideMark/>
          </w:tcPr>
          <w:p w:rsidP="002A2AC0">
            <w:pPr>
              <w:jc w:val="both"/>
              <w:rPr>
                <w:noProof/>
              </w:rPr>
            </w:pPr>
            <w:r>
              <w:rPr>
                <w:b/>
                <w:bCs/>
                <w:noProof/>
              </w:rPr>
              <w:t>Keuken                                                                    </w:t>
            </w:r>
          </w:p>
          <w:p w:rsidP="002A2AC0">
            <w:pPr>
              <w:jc w:val="both"/>
              <w:rPr>
                <w:noProof/>
              </w:rPr>
            </w:pPr>
            <w:r>
              <w:rPr>
                <w:noProof/>
              </w:rPr>
              <w:t>vergadertarief                                                          39,58</w:t>
            </w:r>
          </w:p>
          <w:p w:rsidP="002A2AC0">
            <w:pPr>
              <w:jc w:val="both"/>
              <w:rPr>
                <w:noProof/>
              </w:rPr>
            </w:pPr>
            <w:r>
              <w:rPr>
                <w:noProof/>
              </w:rPr>
              <w:t>feesttarief                                                                65,97</w:t>
            </w:r>
          </w:p>
          <w:p w:rsidP="002A2AC0">
            <w:pPr>
              <w:jc w:val="both"/>
              <w:rPr>
                <w:noProof/>
              </w:rPr>
            </w:pPr>
            <w:r>
              <w:rPr>
                <w:noProof/>
              </w:rPr>
              <w:t>fuiftarief                                                                  65,97</w:t>
            </w:r>
          </w:p>
          <w:p w:rsidP="002A2AC0">
            <w:pPr>
              <w:jc w:val="both"/>
              <w:rPr>
                <w:noProof/>
              </w:rPr>
            </w:pPr>
            <w:r>
              <w:rPr>
                <w:noProof/>
              </w:rPr>
              <w:t>opstellen, afbreken en stockeren materiaal                 26,39</w:t>
            </w:r>
          </w:p>
        </w:tc>
      </w:tr>
    </w:tbl>
    <w:p w:rsidP="002A2AC0">
      <w:pPr>
        <w:jc w:val="both"/>
        <w:rPr>
          <w:noProof/>
        </w:rPr>
      </w:pPr>
      <w:r>
        <w:rPr>
          <w:noProof/>
        </w:rPr>
        <w:t>§2. De Vest</w:t>
      </w:r>
    </w:p>
    <w:tbl>
      <w:tblPr>
        <w:tblStyle w:val="table"/>
        <w:tblCellMar>
          <w:top w:w="0" w:type="dxa"/>
          <w:left w:w="0" w:type="dxa"/>
          <w:bottom w:w="0" w:type="dxa"/>
          <w:right w:w="0" w:type="dxa"/>
        </w:tblCellMar>
        <w:tblLook w:val="05E0"/>
      </w:tblPr>
      <w:tblGrid>
        <w:gridCol w:w="4008"/>
        <w:gridCol w:w="1092"/>
      </w:tblGrid>
      <w:tr>
        <w:tblPrEx>
          <w:tblCellMar>
            <w:top w:w="0" w:type="dxa"/>
            <w:left w:w="0" w:type="dxa"/>
            <w:bottom w:w="0" w:type="dxa"/>
            <w:right w:w="0" w:type="dxa"/>
          </w:tblCellMar>
          <w:tblLook w:val="05E0"/>
        </w:tblPrEx>
        <w:tc>
          <w:tcPr>
            <w:tcW w:w="5065" w:type="dxa"/>
            <w:gridSpan w:val="2"/>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90" w:type="dxa"/>
            <w:noWrap w:val="0"/>
            <w:tcMar>
              <w:top w:w="0" w:type="dxa"/>
              <w:left w:w="0" w:type="dxa"/>
              <w:bottom w:w="0" w:type="dxa"/>
              <w:right w:w="0" w:type="dxa"/>
            </w:tcMar>
            <w:vAlign w:val="bottom"/>
            <w:hideMark/>
          </w:tcPr>
          <w:p w:rsidP="002A2AC0">
            <w:pPr>
              <w:jc w:val="right"/>
              <w:rPr>
                <w:noProof/>
              </w:rPr>
            </w:pPr>
            <w:r>
              <w:rPr>
                <w:noProof/>
              </w:rPr>
              <w:t>26,39</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feesttarief</w:t>
            </w:r>
          </w:p>
        </w:tc>
        <w:tc>
          <w:tcPr>
            <w:tcW w:w="1090" w:type="dxa"/>
            <w:noWrap w:val="0"/>
            <w:tcMar>
              <w:top w:w="0" w:type="dxa"/>
              <w:left w:w="0" w:type="dxa"/>
              <w:bottom w:w="0" w:type="dxa"/>
              <w:right w:w="0" w:type="dxa"/>
            </w:tcMar>
            <w:vAlign w:val="bottom"/>
            <w:hideMark/>
          </w:tcPr>
          <w:p w:rsidP="002A2AC0">
            <w:pPr>
              <w:jc w:val="right"/>
              <w:rPr>
                <w:noProof/>
              </w:rPr>
            </w:pPr>
            <w:r>
              <w:rPr>
                <w:noProof/>
              </w:rPr>
              <w:t>65,97</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90" w:type="dxa"/>
            <w:noWrap w:val="0"/>
            <w:tcMar>
              <w:top w:w="0" w:type="dxa"/>
              <w:left w:w="0" w:type="dxa"/>
              <w:bottom w:w="0" w:type="dxa"/>
              <w:right w:w="0" w:type="dxa"/>
            </w:tcMar>
            <w:vAlign w:val="bottom"/>
            <w:hideMark/>
          </w:tcPr>
          <w:p w:rsidP="002A2AC0">
            <w:pPr>
              <w:jc w:val="right"/>
              <w:rPr>
                <w:noProof/>
              </w:rPr>
            </w:pPr>
            <w:r>
              <w:rPr>
                <w:noProof/>
              </w:rPr>
              <w:t>13,19</w:t>
            </w:r>
          </w:p>
        </w:tc>
      </w:tr>
    </w:tbl>
    <w:p w:rsidP="002A2AC0">
      <w:pPr>
        <w:jc w:val="both"/>
        <w:rPr>
          <w:noProof/>
        </w:rPr>
      </w:pPr>
      <w:r>
        <w:rPr>
          <w:noProof/>
        </w:rPr>
        <w:t>§3. Refter gemeentelijke basisschool Schoonbroek  </w:t>
      </w:r>
    </w:p>
    <w:tbl>
      <w:tblPr>
        <w:tblStyle w:val="table"/>
        <w:tblCellMar>
          <w:top w:w="0" w:type="dxa"/>
          <w:left w:w="0" w:type="dxa"/>
          <w:bottom w:w="0" w:type="dxa"/>
          <w:right w:w="0" w:type="dxa"/>
        </w:tblCellMar>
        <w:tblLook w:val="05E0"/>
      </w:tblPr>
      <w:tblGrid>
        <w:gridCol w:w="4008"/>
        <w:gridCol w:w="1032"/>
      </w:tblGrid>
      <w:tr>
        <w:tblPrEx>
          <w:tblCellMar>
            <w:top w:w="0" w:type="dxa"/>
            <w:left w:w="0" w:type="dxa"/>
            <w:bottom w:w="0" w:type="dxa"/>
            <w:right w:w="0" w:type="dxa"/>
          </w:tblCellMar>
          <w:tblLook w:val="05E0"/>
        </w:tblPrEx>
        <w:tc>
          <w:tcPr>
            <w:tcW w:w="5005" w:type="dxa"/>
            <w:gridSpan w:val="2"/>
            <w:noWrap w:val="0"/>
            <w:tcMar>
              <w:top w:w="0" w:type="dxa"/>
              <w:left w:w="0" w:type="dxa"/>
              <w:bottom w:w="0" w:type="dxa"/>
              <w:right w:w="0" w:type="dxa"/>
            </w:tcMar>
            <w:vAlign w:val="top"/>
            <w:hideMark/>
          </w:tcPr>
          <w:p w:rsidP="002A2AC0">
            <w:pPr>
              <w:jc w:val="both"/>
              <w:rPr>
                <w:noProof/>
              </w:rPr>
            </w:pPr>
            <w:r>
              <w:rPr>
                <w:noProof/>
              </w:rPr>
              <w:t> </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vergadertarief</w:t>
            </w:r>
          </w:p>
        </w:tc>
        <w:tc>
          <w:tcPr>
            <w:tcW w:w="1030" w:type="dxa"/>
            <w:noWrap w:val="0"/>
            <w:tcMar>
              <w:top w:w="0" w:type="dxa"/>
              <w:left w:w="0" w:type="dxa"/>
              <w:bottom w:w="0" w:type="dxa"/>
              <w:right w:w="0" w:type="dxa"/>
            </w:tcMar>
            <w:vAlign w:val="bottom"/>
            <w:hideMark/>
          </w:tcPr>
          <w:p w:rsidP="002A2AC0">
            <w:pPr>
              <w:jc w:val="right"/>
              <w:rPr>
                <w:noProof/>
              </w:rPr>
            </w:pPr>
            <w:r>
              <w:rPr>
                <w:noProof/>
              </w:rPr>
              <w:t>79,16</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feesttarief</w:t>
            </w:r>
          </w:p>
        </w:tc>
        <w:tc>
          <w:tcPr>
            <w:tcW w:w="1030" w:type="dxa"/>
            <w:noWrap w:val="0"/>
            <w:tcMar>
              <w:top w:w="0" w:type="dxa"/>
              <w:left w:w="0" w:type="dxa"/>
              <w:bottom w:w="0" w:type="dxa"/>
              <w:right w:w="0" w:type="dxa"/>
            </w:tcMar>
            <w:vAlign w:val="bottom"/>
            <w:hideMark/>
          </w:tcPr>
          <w:p w:rsidP="002A2AC0">
            <w:pPr>
              <w:jc w:val="right"/>
              <w:rPr>
                <w:noProof/>
              </w:rPr>
            </w:pPr>
            <w:r>
              <w:rPr>
                <w:noProof/>
              </w:rPr>
              <w:t>158,34</w:t>
            </w:r>
          </w:p>
        </w:tc>
      </w:tr>
      <w:tr>
        <w:tblPrEx>
          <w:tblCellMar>
            <w:top w:w="0" w:type="dxa"/>
            <w:left w:w="0" w:type="dxa"/>
            <w:bottom w:w="0" w:type="dxa"/>
            <w:right w:w="0" w:type="dxa"/>
          </w:tblCellMar>
          <w:tblLook w:val="05E0"/>
        </w:tblPrEx>
        <w:tc>
          <w:tcPr>
            <w:tcW w:w="4000" w:type="dxa"/>
            <w:noWrap w:val="0"/>
            <w:tcMar>
              <w:top w:w="0" w:type="dxa"/>
              <w:left w:w="0" w:type="dxa"/>
              <w:bottom w:w="0" w:type="dxa"/>
              <w:right w:w="0" w:type="dxa"/>
            </w:tcMar>
            <w:vAlign w:val="top"/>
            <w:hideMark/>
          </w:tcPr>
          <w:p w:rsidP="002A2AC0">
            <w:pPr>
              <w:jc w:val="both"/>
              <w:rPr>
                <w:noProof/>
              </w:rPr>
            </w:pPr>
            <w:r>
              <w:rPr>
                <w:noProof/>
              </w:rPr>
              <w:t>opstellen, afbreken en stockeren materiaal</w:t>
            </w:r>
          </w:p>
        </w:tc>
        <w:tc>
          <w:tcPr>
            <w:tcW w:w="1030" w:type="dxa"/>
            <w:noWrap w:val="0"/>
            <w:tcMar>
              <w:top w:w="0" w:type="dxa"/>
              <w:left w:w="0" w:type="dxa"/>
              <w:bottom w:w="0" w:type="dxa"/>
              <w:right w:w="0" w:type="dxa"/>
            </w:tcMar>
            <w:vAlign w:val="bottom"/>
            <w:hideMark/>
          </w:tcPr>
          <w:p w:rsidP="002A2AC0">
            <w:pPr>
              <w:jc w:val="right"/>
              <w:rPr>
                <w:noProof/>
              </w:rPr>
            </w:pPr>
            <w:r>
              <w:rPr>
                <w:noProof/>
              </w:rPr>
              <w:t>26,39</w:t>
            </w:r>
          </w:p>
        </w:tc>
      </w:tr>
    </w:tbl>
    <w:p w:rsidP="002A2AC0">
      <w:pPr>
        <w:jc w:val="both"/>
        <w:rPr>
          <w:noProof/>
        </w:rPr>
      </w:pPr>
      <w:r>
        <w:rPr>
          <w:b/>
          <w:bCs/>
          <w:noProof/>
        </w:rPr>
        <w:t>Vergadertarief</w:t>
      </w:r>
      <w:r>
        <w:rPr>
          <w:noProof/>
        </w:rPr>
        <w:t>: vergadering, cursus en vorming, infoavond, tentoonstelling, repetitie, ledenwerking, ruilbeurs/tweedehandsbeurs, …</w:t>
      </w:r>
    </w:p>
    <w:p w:rsidP="002A2AC0">
      <w:pPr>
        <w:jc w:val="both"/>
        <w:rPr>
          <w:noProof/>
        </w:rPr>
      </w:pPr>
      <w:r>
        <w:rPr>
          <w:b/>
          <w:bCs/>
          <w:noProof/>
        </w:rPr>
        <w:t>Feesttarief</w:t>
      </w:r>
      <w:r>
        <w:rPr>
          <w:noProof/>
        </w:rPr>
        <w:t>: podiumgebruik, receptie, cafetariagebruik, quiz, kaartavond, filmvoorstelling, eetdag, ledenfeest zonder DJ, begrafenismaal, commerciële ruilbeurs, feest zonder DJ (communie / verjaardag / jubileum / trouw / babyborrel / …), …</w:t>
      </w:r>
    </w:p>
    <w:p w:rsidP="002A2AC0">
      <w:pPr>
        <w:jc w:val="both"/>
        <w:rPr>
          <w:noProof/>
        </w:rPr>
      </w:pPr>
      <w:r>
        <w:rPr>
          <w:b/>
          <w:bCs/>
          <w:noProof/>
        </w:rPr>
        <w:t>Fuiftarief</w:t>
      </w:r>
      <w:r>
        <w:rPr>
          <w:noProof/>
        </w:rPr>
        <w:t>: fuif, elektronisch versterkt optreden/DJ, vat, ledenfeest met DJ, feest met DJ (communie / verjaardag / jubileum / trouw / babyborrel / …)</w:t>
      </w:r>
    </w:p>
    <w:p w:rsidP="002A2AC0">
      <w:pPr>
        <w:jc w:val="both"/>
        <w:rPr>
          <w:noProof/>
        </w:rPr>
      </w:pPr>
      <w:r>
        <w:rPr>
          <w:noProof/>
          <w:u w:val="single"/>
        </w:rPr>
        <w:t>Artikel 4</w:t>
      </w:r>
      <w:r>
        <w:rPr>
          <w:noProof/>
        </w:rPr>
        <w:t>:     </w:t>
      </w:r>
    </w:p>
    <w:p w:rsidP="002A2AC0">
      <w:pPr>
        <w:jc w:val="both"/>
        <w:rPr>
          <w:noProof/>
        </w:rPr>
      </w:pPr>
      <w:r>
        <w:rPr>
          <w:noProof/>
        </w:rPr>
        <w:t>Dagdelen en gebruikersgroepen</w:t>
      </w:r>
    </w:p>
    <w:p w:rsidP="002A2AC0">
      <w:pPr>
        <w:jc w:val="both"/>
        <w:rPr>
          <w:noProof/>
        </w:rPr>
      </w:pPr>
      <w:r>
        <w:rPr>
          <w:noProof/>
        </w:rPr>
        <w:t>§1. Dagdelen</w:t>
      </w:r>
    </w:p>
    <w:p w:rsidP="002A2AC0">
      <w:pPr>
        <w:pBdr>
          <w:left w:val="none" w:sz="0" w:space="22" w:color="auto"/>
        </w:pBdr>
        <w:ind w:left="450"/>
        <w:jc w:val="both"/>
        <w:rPr>
          <w:noProof/>
        </w:rPr>
      </w:pPr>
      <w:r>
        <w:rPr>
          <w:noProof/>
        </w:rPr>
        <w:t>De dagdelen worden als volgt afgebakend:</w:t>
      </w:r>
    </w:p>
    <w:p w:rsidP="002A2AC0">
      <w:pPr>
        <w:pBdr>
          <w:left w:val="none" w:sz="0" w:space="22" w:color="auto"/>
        </w:pBdr>
        <w:ind w:left="450"/>
        <w:jc w:val="both"/>
        <w:rPr>
          <w:noProof/>
        </w:rPr>
      </w:pPr>
      <w:r>
        <w:rPr>
          <w:noProof/>
        </w:rPr>
        <w:t>-        08.00 tot 13.00 u</w:t>
      </w:r>
    </w:p>
    <w:p w:rsidP="002A2AC0">
      <w:pPr>
        <w:pBdr>
          <w:left w:val="none" w:sz="0" w:space="22" w:color="auto"/>
        </w:pBdr>
        <w:ind w:left="450"/>
        <w:jc w:val="both"/>
        <w:rPr>
          <w:noProof/>
        </w:rPr>
      </w:pPr>
      <w:r>
        <w:rPr>
          <w:noProof/>
        </w:rPr>
        <w:t>-        13.00 tot 18.00 u</w:t>
      </w:r>
    </w:p>
    <w:p w:rsidP="002A2AC0">
      <w:pPr>
        <w:pBdr>
          <w:left w:val="none" w:sz="0" w:space="22" w:color="auto"/>
        </w:pBdr>
        <w:ind w:left="450"/>
        <w:jc w:val="both"/>
        <w:rPr>
          <w:noProof/>
        </w:rPr>
      </w:pPr>
      <w:r>
        <w:rPr>
          <w:noProof/>
        </w:rPr>
        <w:t>-        18.00 tot 06.00 u</w:t>
      </w:r>
    </w:p>
    <w:p w:rsidP="002A2AC0">
      <w:pPr>
        <w:jc w:val="both"/>
        <w:rPr>
          <w:noProof/>
        </w:rPr>
      </w:pPr>
      <w:r>
        <w:rPr>
          <w:noProof/>
        </w:rPr>
        <w:t>§2. Gebruikersgroepen</w:t>
      </w:r>
    </w:p>
    <w:p w:rsidP="002A2AC0">
      <w:pPr>
        <w:jc w:val="both"/>
        <w:rPr>
          <w:noProof/>
        </w:rPr>
      </w:pPr>
      <w:r>
        <w:rPr>
          <w:noProof/>
        </w:rPr>
        <w:t>Tarieven per gebruikersgroep zoals bepaald in het gebruiksreglement</w:t>
      </w:r>
    </w:p>
    <w:p w:rsidP="002A2AC0">
      <w:pPr>
        <w:pBdr>
          <w:left w:val="none" w:sz="0" w:space="22" w:color="auto"/>
        </w:pBdr>
        <w:ind w:left="450"/>
        <w:jc w:val="both"/>
        <w:rPr>
          <w:noProof/>
        </w:rPr>
      </w:pPr>
      <w:r>
        <w:rPr>
          <w:noProof/>
        </w:rPr>
        <w:t>-        Categorie A: kunnen gratis gebruik maken van de infrastructuur</w:t>
      </w:r>
    </w:p>
    <w:p w:rsidP="002A2AC0">
      <w:pPr>
        <w:pBdr>
          <w:left w:val="none" w:sz="0" w:space="22" w:color="auto"/>
        </w:pBdr>
        <w:ind w:left="450"/>
        <w:jc w:val="both"/>
        <w:rPr>
          <w:noProof/>
        </w:rPr>
      </w:pPr>
      <w:r>
        <w:rPr>
          <w:noProof/>
        </w:rPr>
        <w:t>-        Categorie B: betalen 50% van het basistarief</w:t>
      </w:r>
    </w:p>
    <w:p w:rsidP="002A2AC0">
      <w:pPr>
        <w:pBdr>
          <w:left w:val="none" w:sz="0" w:space="22" w:color="auto"/>
        </w:pBdr>
        <w:ind w:left="450"/>
        <w:jc w:val="both"/>
        <w:rPr>
          <w:noProof/>
        </w:rPr>
      </w:pPr>
      <w:r>
        <w:rPr>
          <w:noProof/>
        </w:rPr>
        <w:t>-        Categorie C: betalen 75% van het basistarief</w:t>
      </w:r>
    </w:p>
    <w:p w:rsidP="002A2AC0">
      <w:pPr>
        <w:pBdr>
          <w:left w:val="none" w:sz="0" w:space="22" w:color="auto"/>
        </w:pBdr>
        <w:ind w:left="450"/>
        <w:jc w:val="both"/>
        <w:rPr>
          <w:noProof/>
        </w:rPr>
      </w:pPr>
      <w:r>
        <w:rPr>
          <w:noProof/>
        </w:rPr>
        <w:t>-        Categorie D: betalen 100 % van het basistarief</w:t>
      </w:r>
    </w:p>
    <w:p w:rsidP="002A2AC0">
      <w:pPr>
        <w:pBdr>
          <w:left w:val="none" w:sz="0" w:space="22" w:color="auto"/>
        </w:pBdr>
        <w:ind w:left="450"/>
        <w:jc w:val="both"/>
        <w:rPr>
          <w:noProof/>
        </w:rPr>
      </w:pPr>
      <w:r>
        <w:rPr>
          <w:noProof/>
        </w:rPr>
        <w:t>-        Categorie E: betalen 150 % van het basistarief.</w:t>
      </w:r>
    </w:p>
    <w:p w:rsidP="002A2AC0">
      <w:pPr>
        <w:jc w:val="both"/>
        <w:rPr>
          <w:noProof/>
        </w:rPr>
      </w:pPr>
      <w:r>
        <w:rPr>
          <w:noProof/>
        </w:rPr>
        <w:t> </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