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opcentiemen op de onroerende voorheffing.</w:t>
      </w:r>
      <w:r w:rsidRPr="001C4A79">
        <w:rPr>
          <w:b/>
          <w:noProof/>
        </w:rPr>
        <w:t xml:space="preserve"> (</w:t>
      </w:r>
      <w:r w:rsidRPr="001C4A79">
        <w:rPr>
          <w:b/>
          <w:noProof/>
        </w:rPr>
        <w:t>GR/2021/153</w:t>
      </w:r>
      <w:r w:rsidRPr="001C4A79">
        <w:rPr>
          <w:b/>
          <w:noProof/>
        </w:rPr>
        <w:t>)</w:t>
      </w:r>
    </w:p>
    <w:p w:rsidR="00C02925" w:rsidRPr="00FC3E79" w:rsidP="002A2AC0" w14:paraId="244E87AB" w14:textId="77777777">
      <w:pPr>
        <w:jc w:val="both"/>
      </w:pPr>
      <w:r>
        <w:rPr>
          <w:noProof/>
        </w:rPr>
        <w:t>Juridische grond</w:t>
      </w:r>
    </w:p>
    <w:p w:rsidP="002A2AC0">
      <w:pPr>
        <w:jc w:val="both"/>
        <w:rPr>
          <w:noProof/>
        </w:rPr>
      </w:pPr>
      <w:r>
        <w:rPr>
          <w:noProof/>
        </w:rPr>
        <w:t>artikel 170, §4, van de Grondwet;</w:t>
      </w:r>
    </w:p>
    <w:p w:rsidP="002A2AC0">
      <w:pPr>
        <w:jc w:val="both"/>
        <w:rPr>
          <w:noProof/>
        </w:rPr>
      </w:pPr>
      <w:r>
        <w:rPr>
          <w:noProof/>
        </w:rPr>
        <w:t>artikel 464/1, 1°, van het Wetboek van Inkomstenbelastingen 1992;</w:t>
      </w:r>
    </w:p>
    <w:p w:rsidP="002A2AC0">
      <w:pPr>
        <w:jc w:val="both"/>
        <w:rPr>
          <w:noProof/>
        </w:rPr>
      </w:pPr>
      <w:r>
        <w:rPr>
          <w:noProof/>
        </w:rPr>
        <w:t>artikel 2.1.4.0.2 en artikel 3.1.0.0.4 van het decreet van 13 december 2013 houdende de Vlaamse Codex Fiscaliteit;</w:t>
      </w:r>
    </w:p>
    <w:p w:rsidP="002A2AC0">
      <w:pPr>
        <w:jc w:val="both"/>
        <w:rPr>
          <w:noProof/>
        </w:rPr>
      </w:pPr>
      <w:r>
        <w:rPr>
          <w:noProof/>
        </w:rPr>
        <w:t>het Decreet over het Lokaal Bestuur van 22 december 2017;</w:t>
      </w:r>
    </w:p>
    <w:p w:rsidR="00C02925" w:rsidRPr="00FC3E79" w:rsidP="002A2AC0" w14:paraId="73B776CC" w14:textId="77777777">
      <w:pPr>
        <w:jc w:val="both"/>
      </w:pPr>
      <w:r>
        <w:rPr>
          <w:noProof/>
        </w:rPr>
        <w:t>Feiten en context</w:t>
      </w:r>
    </w:p>
    <w:p w:rsidP="002A2AC0">
      <w:pPr>
        <w:jc w:val="both"/>
        <w:rPr>
          <w:noProof/>
        </w:rPr>
      </w:pPr>
      <w:r>
        <w:rPr>
          <w:noProof/>
        </w:rPr>
        <w:t>De gemeenteraad dient jaarlijks de opcentiemen op de onroerende voorheffing vast te stellen.</w:t>
      </w:r>
    </w:p>
    <w:p w:rsidR="00C02925" w:rsidP="002A2AC0" w14:paraId="60555B7B" w14:textId="77777777">
      <w:pPr>
        <w:jc w:val="both"/>
        <w:rPr>
          <w:noProof/>
        </w:rPr>
      </w:pPr>
      <w:r>
        <w:rPr>
          <w:noProof/>
        </w:rPr>
        <w:t>Motivatie</w:t>
      </w:r>
    </w:p>
    <w:p w:rsidP="002A2AC0">
      <w:pPr>
        <w:jc w:val="both"/>
        <w:rPr>
          <w:noProof/>
        </w:rPr>
      </w:pPr>
      <w:r>
        <w:rPr>
          <w:noProof/>
        </w:rPr>
        <w:t>De gemeentelijke financiën vereisen de nodige inkomsten.</w:t>
      </w:r>
    </w:p>
    <w:p w:rsidP="002A2AC0">
      <w:pPr>
        <w:jc w:val="both"/>
        <w:rPr>
          <w:noProof/>
        </w:rPr>
      </w:pPr>
      <w:r>
        <w:rPr>
          <w:noProof/>
        </w:rPr>
        <w:t>Met ingang van 1 januari 2021 wordt de urbanisatiebelasting niet langer geheven.</w:t>
      </w:r>
    </w:p>
    <w:p w:rsidP="002A2AC0">
      <w:pPr>
        <w:jc w:val="both"/>
        <w:rPr>
          <w:noProof/>
        </w:rPr>
      </w:pPr>
      <w:r>
        <w:rPr>
          <w:noProof/>
        </w:rPr>
        <w:t>Het verlies aan inkomsten van de urbanisatiebelasting, wordt gecompenseerd door de verhoging van de opcentiemen op de onroerende voorheffing.</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u w:val="single"/>
        </w:rPr>
        <w:t>:</w:t>
      </w:r>
    </w:p>
    <w:p w:rsidP="002A2AC0">
      <w:pPr>
        <w:jc w:val="both"/>
        <w:rPr>
          <w:noProof/>
        </w:rPr>
      </w:pPr>
      <w:r>
        <w:rPr>
          <w:noProof/>
        </w:rPr>
        <w:t>Voor het aanslagjaar 2021 worden ten bate van de gemeent</w:t>
      </w:r>
      <w:r>
        <w:rPr>
          <w:noProof/>
          <w:shd w:val="clear" w:color="auto" w:fill="FFFFFF"/>
        </w:rPr>
        <w:t>e 857</w:t>
      </w:r>
      <w:r>
        <w:rPr>
          <w:noProof/>
        </w:rPr>
        <w:t xml:space="preserve"> opcentiemen geheven op de onroerende voorheffing.</w:t>
      </w:r>
    </w:p>
    <w:p w:rsidP="002A2AC0">
      <w:pPr>
        <w:jc w:val="both"/>
        <w:rPr>
          <w:noProof/>
        </w:rPr>
      </w:pPr>
      <w:r>
        <w:rPr>
          <w:noProof/>
          <w:u w:val="single"/>
        </w:rPr>
        <w:t>Artikel 2</w:t>
      </w:r>
      <w:r>
        <w:rPr>
          <w:noProof/>
        </w:rPr>
        <w:t>:     </w:t>
      </w:r>
    </w:p>
    <w:p w:rsidP="002A2AC0">
      <w:pPr>
        <w:jc w:val="both"/>
        <w:rPr>
          <w:noProof/>
        </w:rPr>
      </w:pPr>
      <w:r>
        <w:rPr>
          <w:noProof/>
        </w:rPr>
        <w:t>De vestiging en de inning gebeuren door toedoen van de Vlaamse Belastingsdienst.</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