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 xml:space="preserve">Gemeentebelastingen: </w:t>
      </w:r>
      <w:r w:rsidRPr="001C4A79">
        <w:rPr>
          <w:b/>
          <w:noProof/>
        </w:rPr>
        <w:t>reglement heffing op verwaarloosde gebouwen en woningen.</w:t>
      </w:r>
      <w:r w:rsidRPr="001C4A79">
        <w:rPr>
          <w:b/>
          <w:noProof/>
        </w:rPr>
        <w:t xml:space="preserve"> (</w:t>
      </w:r>
      <w:r w:rsidRPr="001C4A79">
        <w:rPr>
          <w:b/>
          <w:noProof/>
        </w:rPr>
        <w:t>GR/2021/117</w:t>
      </w:r>
      <w:r w:rsidRPr="001C4A79">
        <w:rPr>
          <w:b/>
          <w:noProof/>
        </w:rPr>
        <w:t>)</w:t>
      </w:r>
    </w:p>
    <w:p w:rsidR="00C02925" w:rsidRPr="00FC3E79" w:rsidP="002A2AC0" w14:paraId="244E87AB" w14:textId="77777777">
      <w:pPr>
        <w:jc w:val="both"/>
      </w:pPr>
      <w:r>
        <w:rPr>
          <w:noProof/>
        </w:rPr>
        <w:t>Juridische grond</w:t>
      </w:r>
    </w:p>
    <w:p w:rsidP="002A2AC0">
      <w:pPr>
        <w:jc w:val="both"/>
        <w:rPr>
          <w:noProof/>
        </w:rPr>
      </w:pPr>
      <w:r>
        <w:rPr>
          <w:noProof/>
        </w:rPr>
        <w:t>Grondwet, zoals gewijzigd, inzonderheid artikel 170, §4</w:t>
      </w:r>
    </w:p>
    <w:p w:rsidP="002A2AC0">
      <w:pPr>
        <w:jc w:val="both"/>
        <w:rPr>
          <w:noProof/>
        </w:rPr>
      </w:pPr>
      <w:r>
        <w:rPr>
          <w:noProof/>
        </w:rPr>
        <w:t>decreet houdende de Vlaamse Wooncode van 15 juli 1997, zoals gewijzigd</w:t>
      </w:r>
    </w:p>
    <w:p w:rsidP="002A2AC0">
      <w:pPr>
        <w:jc w:val="both"/>
        <w:rPr>
          <w:noProof/>
        </w:rPr>
      </w:pPr>
      <w:r>
        <w:rPr>
          <w:noProof/>
        </w:rPr>
        <w:t>decreet van 22 december 2017 over het lokaal bestuur, zoals gewijzigd</w:t>
      </w:r>
    </w:p>
    <w:p w:rsidP="002A2AC0">
      <w:pPr>
        <w:jc w:val="both"/>
        <w:rPr>
          <w:noProof/>
        </w:rPr>
      </w:pPr>
      <w:r>
        <w:rPr>
          <w:noProof/>
        </w:rPr>
        <w:t>decreet van 30 mei 2008 betreffende de vestiging, de invordering en de geschillenprocedure van provincie- en gemeentebelastingen, zoals gewijzigd</w:t>
      </w:r>
    </w:p>
    <w:p w:rsidP="002A2AC0">
      <w:pPr>
        <w:jc w:val="both"/>
        <w:rPr>
          <w:noProof/>
        </w:rPr>
      </w:pPr>
      <w:r>
        <w:rPr>
          <w:noProof/>
        </w:rPr>
        <w:t>decreet van 27 maart 2009 betreffende het grond- en pandenbeleid, zoals gewijzigd</w:t>
      </w:r>
    </w:p>
    <w:p w:rsidP="002A2AC0">
      <w:pPr>
        <w:jc w:val="both"/>
        <w:rPr>
          <w:noProof/>
        </w:rPr>
      </w:pPr>
      <w:r>
        <w:rPr>
          <w:noProof/>
        </w:rPr>
        <w:t>decreet van 22 december 1995 houdende bepalingen tot begeleiding van de begroting 1996, zoals gewijzigd</w:t>
      </w:r>
    </w:p>
    <w:p w:rsidP="002A2AC0">
      <w:pPr>
        <w:jc w:val="both"/>
        <w:rPr>
          <w:noProof/>
        </w:rPr>
      </w:pPr>
      <w:r>
        <w:rPr>
          <w:noProof/>
          <w:lang w:val="nl-NL" w:eastAsia="nl-NL"/>
        </w:rPr>
        <w:t>Vlaamse Codex Fiscaliteit van 13 december 2013, zoals gewijzigd</w:t>
      </w:r>
    </w:p>
    <w:p w:rsidP="002A2AC0">
      <w:pPr>
        <w:jc w:val="both"/>
        <w:rPr>
          <w:noProof/>
        </w:rPr>
      </w:pPr>
      <w:r>
        <w:rPr>
          <w:noProof/>
        </w:rPr>
        <w:t>Vlaamse Codex Wonen van 2021</w:t>
      </w:r>
    </w:p>
    <w:p w:rsidP="002A2AC0">
      <w:pPr>
        <w:jc w:val="both"/>
        <w:rPr>
          <w:noProof/>
        </w:rPr>
      </w:pPr>
      <w:r>
        <w:rPr>
          <w:noProof/>
        </w:rPr>
        <w:t>Besluit van de Vlaamse Regering tot uitvoering van de Vlaamse Codex Wonen van 2021.</w:t>
      </w:r>
    </w:p>
    <w:p w:rsidR="00C02925" w:rsidP="002A2AC0" w14:paraId="60555B7B" w14:textId="77777777">
      <w:pPr>
        <w:jc w:val="both"/>
        <w:rPr>
          <w:noProof/>
        </w:rPr>
      </w:pPr>
      <w:r>
        <w:rPr>
          <w:noProof/>
        </w:rPr>
        <w:t>Motivatie</w:t>
      </w:r>
    </w:p>
    <w:p w:rsidP="002A2AC0">
      <w:pPr>
        <w:jc w:val="both"/>
        <w:rPr>
          <w:noProof/>
        </w:rPr>
      </w:pPr>
      <w:r>
        <w:rPr>
          <w:noProof/>
          <w:lang w:val="nl-NL" w:eastAsia="nl-NL"/>
        </w:rPr>
        <w:t>De gemeente wenst verwaarlozing van woningen en gebouwen te voorkomen en te bestrijden om de verloedering van de leef- en woonomgeving tegen te gaan. </w:t>
      </w:r>
    </w:p>
    <w:p w:rsidP="002A2AC0">
      <w:pPr>
        <w:jc w:val="both"/>
        <w:rPr>
          <w:noProof/>
        </w:rPr>
      </w:pPr>
      <w:r>
        <w:rPr>
          <w:noProof/>
          <w:lang w:val="nl-NL" w:eastAsia="nl-NL"/>
        </w:rPr>
        <w:t>Het is nuttig om een geïntegreerd beleid te voeren ter bestrijding van leegstand en verwaarlozing van woningen en gebouwen.</w:t>
      </w:r>
    </w:p>
    <w:p w:rsidP="002A2AC0">
      <w:pPr>
        <w:jc w:val="both"/>
        <w:rPr>
          <w:noProof/>
        </w:rPr>
      </w:pPr>
      <w:r>
        <w:rPr>
          <w:noProof/>
        </w:rPr>
        <w:t>De gemeente kan een heffing op verwaarloosde gebouwen en woningen innen op grond van de gemeentelijke fiscale autonomie.</w:t>
      </w:r>
    </w:p>
    <w:p w:rsidP="002A2AC0">
      <w:pPr>
        <w:jc w:val="both"/>
        <w:rPr>
          <w:noProof/>
        </w:rPr>
      </w:pPr>
      <w:r>
        <w:rPr>
          <w:noProof/>
        </w:rPr>
        <w:t xml:space="preserve">De Gemeenteraad stelde </w:t>
      </w:r>
      <w:r>
        <w:rPr>
          <w:noProof/>
          <w:shd w:val="clear" w:color="auto" w:fill="FFFFFF"/>
        </w:rPr>
        <w:t>op 17 december 2020</w:t>
      </w:r>
      <w:r>
        <w:rPr>
          <w:noProof/>
        </w:rPr>
        <w:t> een reglement inzake het register van verwaarloosde gebouwen en woningen vast.</w:t>
      </w:r>
    </w:p>
    <w:p w:rsidP="002A2AC0">
      <w:pPr>
        <w:jc w:val="both"/>
        <w:rPr>
          <w:noProof/>
        </w:rPr>
      </w:pPr>
      <w:r>
        <w:rPr>
          <w:noProof/>
        </w:rPr>
        <w:t>Om aan te sluiten bij de noden en het beleid van de gemeente</w:t>
      </w:r>
      <w:r>
        <w:rPr>
          <w:noProof/>
        </w:rPr>
        <w:t xml:space="preserve"> worden in onderhavig </w:t>
      </w:r>
      <w:r>
        <w:rPr>
          <w:noProof/>
          <w:shd w:val="clear" w:color="auto" w:fill="FFFFFF"/>
        </w:rPr>
        <w:t>belastingreglement</w:t>
      </w:r>
      <w:r>
        <w:rPr>
          <w:noProof/>
        </w:rPr>
        <w:t xml:space="preserve"> vrijstellingen ingelast.</w:t>
      </w:r>
    </w:p>
    <w:p w:rsidR="00C02925" w:rsidRPr="00FC3E79" w:rsidP="002A2AC0" w14:paraId="0EAA0B81" w14:textId="77EFE38E">
      <w:pPr>
        <w:jc w:val="both"/>
      </w:pPr>
      <w:r>
        <w:rPr>
          <w:noProof/>
        </w:rPr>
        <w:t>BESLUIT</w:t>
      </w:r>
    </w:p>
    <w:p w:rsidP="002A2AC0">
      <w:pPr>
        <w:jc w:val="both"/>
        <w:rPr>
          <w:noProof/>
        </w:rPr>
      </w:pPr>
      <w:r>
        <w:rPr>
          <w:b/>
          <w:bCs/>
          <w:noProof/>
        </w:rPr>
        <w:t>1. ALGEMENE BEPALINGEN</w:t>
      </w:r>
    </w:p>
    <w:p w:rsidP="002A2AC0">
      <w:pPr>
        <w:jc w:val="both"/>
        <w:rPr>
          <w:noProof/>
        </w:rPr>
      </w:pPr>
      <w:r>
        <w:rPr>
          <w:noProof/>
        </w:rPr>
        <w:t>Artikel 1: Definities</w:t>
      </w:r>
    </w:p>
    <w:p w:rsidP="002A2AC0">
      <w:pPr>
        <w:jc w:val="both"/>
        <w:rPr>
          <w:noProof/>
        </w:rPr>
      </w:pPr>
      <w:r>
        <w:rPr>
          <w:noProof/>
        </w:rPr>
        <w:t>Voor de toepassing van dit reglement wordt verstaan onder:</w:t>
      </w:r>
    </w:p>
    <w:p w:rsidP="002A2AC0">
      <w:pPr>
        <w:jc w:val="both"/>
        <w:rPr>
          <w:noProof/>
        </w:rPr>
      </w:pPr>
      <w:r>
        <w:rPr>
          <w:noProof/>
        </w:rPr>
        <w:t>1°     Beveiligde zending: één van de hiernavolgende betekeningswijzen:</w:t>
      </w:r>
    </w:p>
    <w:p w:rsidP="002A2AC0">
      <w:pPr>
        <w:jc w:val="both"/>
        <w:rPr>
          <w:noProof/>
        </w:rPr>
      </w:pPr>
      <w:r>
        <w:rPr>
          <w:noProof/>
        </w:rPr>
        <w:t>a) een aangetekend schrijven;</w:t>
      </w:r>
    </w:p>
    <w:p w:rsidP="002A2AC0">
      <w:pPr>
        <w:jc w:val="both"/>
        <w:rPr>
          <w:noProof/>
        </w:rPr>
      </w:pPr>
      <w:r>
        <w:rPr>
          <w:noProof/>
        </w:rPr>
        <w:t>b) een afgifte tegen ontvangstbewijs;</w:t>
      </w:r>
    </w:p>
    <w:p w:rsidP="002A2AC0">
      <w:pPr>
        <w:jc w:val="both"/>
        <w:rPr>
          <w:noProof/>
        </w:rPr>
      </w:pPr>
      <w:r>
        <w:rPr>
          <w:noProof/>
        </w:rPr>
        <w:t>2°     Gebouw: elk bebouwd onroerend goed, dat zowel het hoofdgebouw als de bijgebouwen omvat, met uitzondering van de bebouwde onroerende goederen die vallen onder de toepassing van het decreet van 19 april 1995 houdende maatregelen ter bestrijding en voorkoming van leegstand en verwaarlozing van bedrijfsruimten; </w:t>
      </w:r>
    </w:p>
    <w:p w:rsidP="002A2AC0">
      <w:pPr>
        <w:jc w:val="both"/>
        <w:rPr>
          <w:noProof/>
        </w:rPr>
      </w:pPr>
      <w:r>
        <w:rPr>
          <w:noProof/>
        </w:rPr>
        <w:t>3°     Register van verwaarloosde gebouwen en woningen: het gemeentelijk register van verwaarloosde gebouwen en woningen, als vermeld in artikel  2.15. Vlaamse Codex Wonen;</w:t>
      </w:r>
    </w:p>
    <w:p w:rsidP="002A2AC0">
      <w:pPr>
        <w:jc w:val="both"/>
        <w:rPr>
          <w:noProof/>
        </w:rPr>
      </w:pPr>
      <w:r>
        <w:rPr>
          <w:noProof/>
        </w:rPr>
        <w:t>4°     Woning: elk onroerend goed of het deel ervan dat hoofdzakelijk bestemd is voor de huisvesting van een gezin of alleenstaande;</w:t>
      </w:r>
    </w:p>
    <w:p w:rsidP="002A2AC0">
      <w:pPr>
        <w:jc w:val="both"/>
        <w:rPr>
          <w:noProof/>
        </w:rPr>
      </w:pPr>
      <w:r>
        <w:rPr>
          <w:noProof/>
        </w:rPr>
        <w:t>5° Houder van het zakelijk recht: de persoon of de personen met een recht van volle eigendom, opstal, erfpacht of vruchtgebruik met betrekking tot een gebouw of een woning.</w:t>
      </w:r>
    </w:p>
    <w:p w:rsidP="002A2AC0">
      <w:pPr>
        <w:jc w:val="both"/>
        <w:rPr>
          <w:noProof/>
        </w:rPr>
      </w:pPr>
      <w:r>
        <w:rPr>
          <w:b/>
          <w:bCs/>
          <w:noProof/>
        </w:rPr>
        <w:t>2. HEFFING op verwaarloosde woningen en gebouwen</w:t>
      </w:r>
    </w:p>
    <w:p w:rsidP="002A2AC0">
      <w:pPr>
        <w:jc w:val="both"/>
        <w:rPr>
          <w:noProof/>
        </w:rPr>
      </w:pPr>
      <w:r>
        <w:rPr>
          <w:noProof/>
        </w:rPr>
        <w:t>Artikel 2: Belastbare grondslag</w:t>
      </w:r>
    </w:p>
    <w:p w:rsidP="002A2AC0">
      <w:pPr>
        <w:jc w:val="both"/>
        <w:rPr>
          <w:noProof/>
        </w:rPr>
      </w:pPr>
      <w:r>
        <w:rPr>
          <w:noProof/>
        </w:rPr>
        <w:t>§1. Er wordt voor de aanslagjaren 2022 tot en met 2025 een jaarlijkse gemeentebelasting, zijnde de heffing op verwaarloosde woningen en gebouwen, gevestigd op de woningen en gebouwen die gedurende minstens 12 opeenvolgende maanden zijn opgenomen in het gemeentelijk register van verwaarloosde gebouwen en woningen.</w:t>
      </w:r>
    </w:p>
    <w:p w:rsidP="002A2AC0">
      <w:pPr>
        <w:jc w:val="both"/>
        <w:rPr>
          <w:noProof/>
        </w:rPr>
      </w:pPr>
      <w:r>
        <w:rPr>
          <w:noProof/>
        </w:rPr>
        <w:t>§2. Zolang het verwaarloosde gebouw of de verwaarloosde woning niet uit het register van verwaarloosde gebouwen en woningen is geschrapt, blijft de heffing op verwaarloosde woningen en gebouwen verschuldigd op het ogenblik van het verstrijken van elke nieuwe periode van 12 maanden vanaf de datum van de 1</w:t>
      </w:r>
      <w:r>
        <w:rPr>
          <w:noProof/>
          <w:vertAlign w:val="superscript"/>
        </w:rPr>
        <w:t>ste</w:t>
      </w:r>
      <w:r>
        <w:rPr>
          <w:noProof/>
        </w:rPr>
        <w:t xml:space="preserve"> verjaardag van de opnamedatum.</w:t>
      </w:r>
    </w:p>
    <w:p w:rsidP="002A2AC0">
      <w:pPr>
        <w:jc w:val="both"/>
        <w:rPr>
          <w:noProof/>
        </w:rPr>
      </w:pPr>
      <w:r>
        <w:rPr>
          <w:noProof/>
        </w:rPr>
        <w:t>§3. Bij de overdracht van het zakelijk recht van een gebouw of een woning geldt de datum van de authentieke overdrachtsakte als aanvangspunt voor het berekenen van de termijnen van 12 maanden.</w:t>
      </w:r>
    </w:p>
    <w:p w:rsidP="002A2AC0">
      <w:pPr>
        <w:jc w:val="both"/>
        <w:rPr>
          <w:noProof/>
        </w:rPr>
      </w:pPr>
      <w:r>
        <w:rPr>
          <w:noProof/>
        </w:rPr>
        <w:t>Artikel 3: Belastingplichtige</w:t>
      </w:r>
    </w:p>
    <w:p w:rsidP="002A2AC0">
      <w:pPr>
        <w:jc w:val="both"/>
        <w:rPr>
          <w:noProof/>
        </w:rPr>
      </w:pPr>
      <w:r>
        <w:rPr>
          <w:noProof/>
        </w:rPr>
        <w:t>§1. Belastingplichtig is diegene die op het ogenblik van het verschuldigd worden van de heffing op verwaarloosde woningen en gebouwen houder van het zakelijk recht is van het verwaarloosde gebouw of de verwaarloosde woning.</w:t>
      </w:r>
    </w:p>
    <w:p w:rsidP="002A2AC0">
      <w:pPr>
        <w:jc w:val="both"/>
        <w:rPr>
          <w:noProof/>
        </w:rPr>
      </w:pPr>
      <w:r>
        <w:rPr>
          <w:noProof/>
        </w:rPr>
        <w:t>§2. Zolang het gebouw of de woning niet uit het register van verwaarloosde gebouwen en woningen is geschrapt, is de houder van het zakelijk recht , vermeld in §1, op het ogenblik dat een nieuwe termijn van 12 maanden verstrijkt, de belastingplichtige voor de nieuwe belasting.</w:t>
      </w:r>
    </w:p>
    <w:p w:rsidP="002A2AC0">
      <w:pPr>
        <w:jc w:val="both"/>
        <w:rPr>
          <w:noProof/>
        </w:rPr>
      </w:pPr>
      <w:r>
        <w:rPr>
          <w:noProof/>
        </w:rPr>
        <w:t>§3. Zo er meerdere belastingplichtigen zijn, zijn deze hoofdelijk gehouden tot betaling van de verschuldigde belasting.</w:t>
      </w:r>
    </w:p>
    <w:p w:rsidP="002A2AC0">
      <w:pPr>
        <w:jc w:val="both"/>
        <w:rPr>
          <w:noProof/>
        </w:rPr>
      </w:pPr>
      <w:r>
        <w:rPr>
          <w:noProof/>
        </w:rPr>
        <w:t>§4. In het geval van overdracht van het zakelijk recht moet de overdrager van het zakelijk recht de verkrijger, voorafgaand aan de overdracht, in kennis stellen dat de woning of het gebouw is opgenomen in het register van verwaarloosde gebouwen en woningen.</w:t>
      </w:r>
    </w:p>
    <w:p w:rsidP="002A2AC0">
      <w:pPr>
        <w:jc w:val="both"/>
        <w:rPr>
          <w:noProof/>
        </w:rPr>
      </w:pPr>
      <w:r>
        <w:rPr>
          <w:noProof/>
        </w:rPr>
        <w:t>Tevens moet hij per beveiligde zending een kopie van de notariële akte bezorgen aan de gemeente, binnen 2 maanden na het verlijden van de notariële akte. Deze kopie bevat minstens de volgende gegevens:</w:t>
      </w:r>
    </w:p>
    <w:p w:rsidP="002A2AC0">
      <w:pPr>
        <w:jc w:val="both"/>
        <w:rPr>
          <w:noProof/>
        </w:rPr>
      </w:pPr>
      <w:r>
        <w:rPr>
          <w:noProof/>
        </w:rPr>
        <w:t>–    naam en adres van de verkrijger van het zakelijk recht en zijn eigendomsaandeel;</w:t>
      </w:r>
    </w:p>
    <w:p w:rsidP="002A2AC0">
      <w:pPr>
        <w:jc w:val="both"/>
        <w:rPr>
          <w:noProof/>
        </w:rPr>
      </w:pPr>
      <w:r>
        <w:rPr>
          <w:noProof/>
        </w:rPr>
        <w:t>–    datum van de akte, naam en standplaats van de notaris;</w:t>
      </w:r>
    </w:p>
    <w:p w:rsidP="002A2AC0">
      <w:pPr>
        <w:jc w:val="both"/>
        <w:rPr>
          <w:noProof/>
        </w:rPr>
      </w:pPr>
      <w:r>
        <w:rPr>
          <w:noProof/>
        </w:rPr>
        <w:t>–    nauwkeurige aanduiding van de overgedragen woning of het gebouw.</w:t>
      </w:r>
    </w:p>
    <w:p w:rsidP="002A2AC0">
      <w:pPr>
        <w:jc w:val="both"/>
        <w:rPr>
          <w:noProof/>
        </w:rPr>
      </w:pPr>
      <w:r>
        <w:rPr>
          <w:noProof/>
        </w:rPr>
        <w:t>De overdrager van het zakelijk recht kan de instrumenterende ambtenaar vragen om dit in zijn plaats te doen.</w:t>
      </w:r>
    </w:p>
    <w:p w:rsidP="002A2AC0">
      <w:pPr>
        <w:jc w:val="both"/>
        <w:rPr>
          <w:noProof/>
        </w:rPr>
      </w:pPr>
      <w:r>
        <w:rPr>
          <w:noProof/>
        </w:rPr>
        <w:t>Bij ontstentenis van deze kennisgeving wordt de overdrager van een zakelijk recht, in afwijking van §1, als belastingschuldige beschouwd voor de eerstvolgende belasting die na de overdracht van het zakelijk recht wordt gevestigd.</w:t>
      </w:r>
    </w:p>
    <w:p w:rsidP="002A2AC0">
      <w:pPr>
        <w:jc w:val="both"/>
        <w:rPr>
          <w:noProof/>
        </w:rPr>
      </w:pPr>
      <w:r>
        <w:rPr>
          <w:noProof/>
        </w:rPr>
        <w:t>Artikel 4: Berekening van de heffing op verwaarloosde woningen en gebouwen</w:t>
      </w:r>
    </w:p>
    <w:p w:rsidP="002A2AC0">
      <w:pPr>
        <w:jc w:val="both"/>
        <w:rPr>
          <w:noProof/>
        </w:rPr>
      </w:pPr>
      <w:r>
        <w:rPr>
          <w:noProof/>
        </w:rPr>
        <w:t>§1. Het bedrag van de belasting wordt vastgesteld op: </w:t>
      </w:r>
    </w:p>
    <w:p w:rsidP="002A2AC0">
      <w:pPr>
        <w:jc w:val="both"/>
        <w:rPr>
          <w:noProof/>
        </w:rPr>
      </w:pPr>
      <w:r>
        <w:rPr>
          <w:noProof/>
        </w:rPr>
        <w:t>1°   1.000 euro voor een verwaarloosd gebouw;</w:t>
      </w:r>
    </w:p>
    <w:p w:rsidP="002A2AC0">
      <w:pPr>
        <w:jc w:val="both"/>
        <w:rPr>
          <w:noProof/>
        </w:rPr>
      </w:pPr>
      <w:r>
        <w:rPr>
          <w:noProof/>
        </w:rPr>
        <w:t>2°   1.000 euro voor een verwaarloosde woning.</w:t>
      </w:r>
    </w:p>
    <w:p w:rsidP="002A2AC0">
      <w:pPr>
        <w:jc w:val="both"/>
        <w:rPr>
          <w:noProof/>
        </w:rPr>
      </w:pPr>
      <w:r>
        <w:rPr>
          <w:noProof/>
        </w:rPr>
        <w:t xml:space="preserve">§2. De belasting wordt vermenigvuldigd met het aantal termijnen van twaalf maanden dat het gebouw of de woning zonder onderbreking is opgenomen in het gemeentelijk register van verwaarloosde gebouwen en woningen. </w:t>
      </w:r>
    </w:p>
    <w:p w:rsidP="002A2AC0">
      <w:pPr>
        <w:jc w:val="both"/>
        <w:rPr>
          <w:noProof/>
        </w:rPr>
      </w:pPr>
      <w:r>
        <w:rPr>
          <w:noProof/>
        </w:rPr>
        <w:t>§3. Voor elke woning die of elk gebouw dat opgenomen is in het gemeentelijk register van verwaarloosde gebouwen en woningen en op 31 december 2016 nog opgenomen was in de gewestelijke inventaris van verwaarloosde gebouwen en/of woningen, wordt de belasting vermenigvuldigd met het aantal volledige termijnen van twaalf maanden dat de woning of het gebouw in de gewestelijke inventaris van verwaarloosde gebouwen en/of woningen was opgenomen.</w:t>
      </w:r>
    </w:p>
    <w:p w:rsidP="002A2AC0">
      <w:pPr>
        <w:jc w:val="both"/>
        <w:rPr>
          <w:noProof/>
        </w:rPr>
      </w:pPr>
      <w:r>
        <w:rPr>
          <w:noProof/>
        </w:rPr>
        <w:t>§4. De belasting wordt ten hoogste vermenigvuldigd met vijf, ook bij gezamenlijke toepassing van §2 en §3.</w:t>
      </w:r>
    </w:p>
    <w:p w:rsidP="002A2AC0">
      <w:pPr>
        <w:jc w:val="both"/>
        <w:rPr>
          <w:noProof/>
        </w:rPr>
      </w:pPr>
      <w:r>
        <w:rPr>
          <w:noProof/>
        </w:rPr>
        <w:t>§5. Bij de overdracht van het zakelijk recht van een gebouw of een woning geldt de datum van de authentieke overdrachtsakte als aanvangspunt voor het berekenen van de termijnen van 12 maanden.</w:t>
      </w:r>
    </w:p>
    <w:p w:rsidP="002A2AC0">
      <w:pPr>
        <w:jc w:val="both"/>
        <w:rPr>
          <w:noProof/>
        </w:rPr>
      </w:pPr>
      <w:r>
        <w:rPr>
          <w:noProof/>
        </w:rPr>
        <w:t>Artikel 5: Vrijstellingen</w:t>
      </w:r>
    </w:p>
    <w:p w:rsidP="002A2AC0">
      <w:pPr>
        <w:jc w:val="both"/>
        <w:rPr>
          <w:noProof/>
        </w:rPr>
      </w:pPr>
      <w:r>
        <w:rPr>
          <w:noProof/>
        </w:rPr>
        <w:t>§1. Van de heffing op verwaarloosde woningen en gebouwen</w:t>
      </w:r>
      <w:r>
        <w:rPr>
          <w:i/>
          <w:iCs/>
          <w:noProof/>
        </w:rPr>
        <w:t xml:space="preserve"> </w:t>
      </w:r>
      <w:r>
        <w:rPr>
          <w:noProof/>
        </w:rPr>
        <w:t>zijn vrijgesteld:</w:t>
      </w:r>
    </w:p>
    <w:p w:rsidP="002A2AC0">
      <w:pPr>
        <w:jc w:val="both"/>
        <w:rPr>
          <w:noProof/>
        </w:rPr>
      </w:pPr>
      <w:r>
        <w:rPr>
          <w:noProof/>
        </w:rPr>
        <w:t>1°    de belastingplichtige die volle eigenaar is van 1 enkele woning, die die woning uitsluitend gebruikt als hoofdverblijfplaats en die geen zakelijk recht heeft op een ander onroerend goed;  </w:t>
      </w:r>
    </w:p>
    <w:p w:rsidP="002A2AC0">
      <w:pPr>
        <w:jc w:val="both"/>
        <w:rPr>
          <w:noProof/>
        </w:rPr>
      </w:pPr>
      <w:r>
        <w:rPr>
          <w:noProof/>
        </w:rPr>
        <w:t>2°    de belastingplichtige die maximaal 1 jaar houder van het zakelijk recht is van het gebouw of de woning;</w:t>
      </w:r>
    </w:p>
    <w:p w:rsidP="002A2AC0">
      <w:pPr>
        <w:jc w:val="both"/>
        <w:rPr>
          <w:noProof/>
        </w:rPr>
      </w:pPr>
      <w:r>
        <w:rPr>
          <w:noProof/>
        </w:rPr>
        <w:t>§2. Een vrijstelling wordt verleend indien het gebouw of de woning:</w:t>
      </w:r>
    </w:p>
    <w:p w:rsidP="002A2AC0">
      <w:pPr>
        <w:jc w:val="both"/>
        <w:rPr>
          <w:noProof/>
        </w:rPr>
      </w:pPr>
      <w:r>
        <w:rPr>
          <w:noProof/>
        </w:rPr>
        <w:t>1°     gelegen is binnen de grenzen van een door de bevoegde overheid goedgekeurd onteigeningsplan;</w:t>
      </w:r>
    </w:p>
    <w:p w:rsidP="002A2AC0">
      <w:pPr>
        <w:jc w:val="both"/>
        <w:rPr>
          <w:noProof/>
        </w:rPr>
      </w:pPr>
      <w:r>
        <w:rPr>
          <w:noProof/>
        </w:rPr>
        <w:t>2°     geen voorwerp meer kan uitmaken van een stedenbouwkundige vergunning of een omgevingsvergunning voor stedenbouwkundige handelingen omdat een voorlopig of definitief onteigeningsplan is vastgesteld;  </w:t>
      </w:r>
    </w:p>
    <w:p w:rsidP="002A2AC0">
      <w:pPr>
        <w:jc w:val="both"/>
        <w:rPr>
          <w:noProof/>
        </w:rPr>
      </w:pPr>
      <w:r>
        <w:rPr>
          <w:noProof/>
        </w:rPr>
        <w:t>3°     krachtens decreet beschermd is als monument, of opgenomen is op een bij besluit vastgesteld ontwerp van lijst tot bescherming als monument;</w:t>
      </w:r>
    </w:p>
    <w:p w:rsidP="002A2AC0">
      <w:pPr>
        <w:jc w:val="both"/>
        <w:rPr>
          <w:noProof/>
        </w:rPr>
      </w:pPr>
      <w:r>
        <w:rPr>
          <w:noProof/>
        </w:rPr>
        <w:t>4°     deel uitmaakt van een krachtens decreet beschermd stads- of dorpsgezicht of landschap, of van een stads- of dorpsgezicht of landschap dat opgenomen is op een bij besluit vastgesteld ontwerp van lijst tot bescherming als stads- of dorpsgezicht of landschap;</w:t>
      </w:r>
    </w:p>
    <w:p w:rsidP="002A2AC0">
      <w:pPr>
        <w:jc w:val="both"/>
        <w:rPr>
          <w:noProof/>
        </w:rPr>
      </w:pPr>
      <w:r>
        <w:rPr>
          <w:noProof/>
        </w:rPr>
        <w:t>5°     opgenomen is op de gemeentelijke lijst van waardevol, niet-beschermd bouwkundig erfgoed;</w:t>
      </w:r>
    </w:p>
    <w:p w:rsidP="002A2AC0">
      <w:pPr>
        <w:jc w:val="both"/>
        <w:rPr>
          <w:noProof/>
        </w:rPr>
      </w:pPr>
      <w:r>
        <w:rPr>
          <w:noProof/>
        </w:rPr>
        <w:t>6°     vernield of beschadigd werd ten gevolge van een plotse ramp, met dien verstande dat deze vrijstelling slechts geldt gedurende een periode van 3 jaar volgende op de datum van de vernieling of de beschadiging;</w:t>
      </w:r>
    </w:p>
    <w:p w:rsidP="002A2AC0">
      <w:pPr>
        <w:jc w:val="both"/>
        <w:rPr>
          <w:noProof/>
        </w:rPr>
      </w:pPr>
      <w:r>
        <w:rPr>
          <w:noProof/>
        </w:rPr>
        <w:t>7°     gerenoveerd wordt blijkens een niet vervallen stedenbouwkundige vergunning of omgevingsvergunning voor stabiliteitswerken, renovatiewerken of sloopwerkzaamheden, met dien verstande dat deze vrijstelling slechts geldt gedurende een termijn van 3 jaar volgend op het uitvoerbaar worden van de stedenbouwkundige vergunning of omgevingsvergunning;</w:t>
      </w:r>
    </w:p>
    <w:p w:rsidP="002A2AC0">
      <w:pPr>
        <w:jc w:val="both"/>
        <w:rPr>
          <w:noProof/>
        </w:rPr>
      </w:pPr>
      <w:r>
        <w:rPr>
          <w:noProof/>
        </w:rPr>
        <w:t>8°     het voorwerp uitmaakt van een overeenkomst met het oog op renovatie-, verbeterings- of aanpassingswerkzaamheden in de zin van artikel 3.30., §2 Vlaamse Codex Wonen;</w:t>
      </w:r>
    </w:p>
    <w:p w:rsidP="002A2AC0">
      <w:pPr>
        <w:jc w:val="both"/>
        <w:rPr>
          <w:noProof/>
        </w:rPr>
      </w:pPr>
      <w:r>
        <w:rPr>
          <w:noProof/>
        </w:rPr>
        <w:t>9°     het voorwerp uitmaakt van een door de gemeente, het Openbaar Centrum voor Maatschappelijk Welzijn of een sociale woonorganisatie verkregen sociaal beheersrecht, overeenkomstig boek 5, deel 7 Vlaamse Codex Wonen;</w:t>
      </w:r>
    </w:p>
    <w:p w:rsidP="002A2AC0">
      <w:pPr>
        <w:jc w:val="both"/>
        <w:rPr>
          <w:noProof/>
        </w:rPr>
      </w:pPr>
      <w:r>
        <w:rPr>
          <w:noProof/>
        </w:rPr>
        <w:t>Indien de belastingplichtige de verwaarlozing laat aanhouden omwille van een vreemde oorzaak die de belastingplichtige niet kan worden toegerekend, wordt eveneens een vrijstelling verleend.</w:t>
      </w:r>
    </w:p>
    <w:p w:rsidP="002A2AC0">
      <w:pPr>
        <w:jc w:val="both"/>
        <w:rPr>
          <w:noProof/>
        </w:rPr>
      </w:pPr>
      <w:r>
        <w:rPr>
          <w:noProof/>
        </w:rPr>
        <w:t>Artikel 6: Inkohiering</w:t>
      </w:r>
    </w:p>
    <w:p w:rsidP="002A2AC0">
      <w:pPr>
        <w:jc w:val="both"/>
        <w:rPr>
          <w:noProof/>
        </w:rPr>
      </w:pPr>
      <w:r>
        <w:rPr>
          <w:noProof/>
        </w:rPr>
        <w:t>De belasting wordt ingevorderd bij wege van een kohier dat vastgesteld en uitvoerbaar verklaard wordt door het College van Burgemeester en Schepenen.</w:t>
      </w:r>
    </w:p>
    <w:p w:rsidP="002A2AC0">
      <w:pPr>
        <w:jc w:val="both"/>
        <w:rPr>
          <w:noProof/>
        </w:rPr>
      </w:pPr>
      <w:r>
        <w:rPr>
          <w:noProof/>
        </w:rPr>
        <w:t>Artikel 7: Betaling van de belasting</w:t>
      </w:r>
    </w:p>
    <w:p w:rsidP="002A2AC0">
      <w:pPr>
        <w:jc w:val="both"/>
        <w:rPr>
          <w:noProof/>
        </w:rPr>
      </w:pPr>
      <w:r>
        <w:rPr>
          <w:noProof/>
        </w:rPr>
        <w:t>De belasting moet betaald worden binnen 2 maanden na de verzending van het aanslagbiljet.</w:t>
      </w:r>
    </w:p>
    <w:p w:rsidP="002A2AC0">
      <w:pPr>
        <w:jc w:val="both"/>
        <w:rPr>
          <w:noProof/>
        </w:rPr>
      </w:pPr>
      <w:r>
        <w:rPr>
          <w:noProof/>
        </w:rPr>
        <w:t>Artikel 8: Bezwaar tegen de aanslag</w:t>
      </w:r>
    </w:p>
    <w:p w:rsidP="002A2AC0">
      <w:pPr>
        <w:jc w:val="both"/>
        <w:rPr>
          <w:noProof/>
        </w:rPr>
      </w:pPr>
      <w:r>
        <w:rPr>
          <w:noProof/>
        </w:rPr>
        <w:t>§1.</w:t>
      </w:r>
      <w:r>
        <w:rPr>
          <w:i/>
          <w:iCs/>
          <w:noProof/>
        </w:rPr>
        <w:t xml:space="preserve"> </w:t>
      </w:r>
      <w:r>
        <w:rPr>
          <w:noProof/>
        </w:rPr>
        <w:t>De belastingschuldige kan bezwaar indienen tegen deze belasting bij het College van Burgemeester en Schepenen. </w:t>
      </w:r>
    </w:p>
    <w:p w:rsidP="002A2AC0">
      <w:pPr>
        <w:jc w:val="both"/>
        <w:rPr>
          <w:noProof/>
        </w:rPr>
      </w:pPr>
      <w:r>
        <w:rPr>
          <w:noProof/>
        </w:rPr>
        <w:t>Het bezwaarschrift moet schriftelijk worden ingediend, ondertekend en gemotiveerd zijn en op straffe van verval worden ingediend binnen een termijn van 3 maanden te rekenen vanaf de 3</w:t>
      </w:r>
      <w:r>
        <w:rPr>
          <w:noProof/>
          <w:vertAlign w:val="superscript"/>
        </w:rPr>
        <w:t>de</w:t>
      </w:r>
      <w:r>
        <w:rPr>
          <w:noProof/>
        </w:rPr>
        <w:t xml:space="preserve"> werkdag volgend op de datum van verzending van het aanslagbiljet of vanaf de kennisgeving van de aanslag. Van het bezwaarschrift wordt binnen 15 dagen na de indiening ervan een ontvangstmelding afgegeven.</w:t>
      </w:r>
    </w:p>
    <w:p w:rsidP="002A2AC0">
      <w:pPr>
        <w:jc w:val="both"/>
        <w:rPr>
          <w:noProof/>
        </w:rPr>
      </w:pPr>
      <w:r>
        <w:rPr>
          <w:noProof/>
        </w:rPr>
        <w:t>§2.</w:t>
      </w:r>
      <w:r>
        <w:rPr>
          <w:i/>
          <w:iCs/>
          <w:noProof/>
        </w:rPr>
        <w:t xml:space="preserve"> </w:t>
      </w:r>
      <w:r>
        <w:rPr>
          <w:noProof/>
        </w:rPr>
        <w:t>Het bezwaarschrift wordt behandeld in overeenstemming met het decreet van 30 mei 2008 betreffende de vestiging, de invordering en de geschillenprocedure van provincie- en gemeentebelastingen.</w:t>
      </w:r>
    </w:p>
    <w:p w:rsidP="002A2AC0">
      <w:pPr>
        <w:jc w:val="both"/>
        <w:rPr>
          <w:noProof/>
        </w:rPr>
      </w:pPr>
      <w:r>
        <w:rPr>
          <w:b/>
          <w:bCs/>
          <w:noProof/>
        </w:rPr>
        <w:t>3. SLOTBEPALINGEN</w:t>
      </w:r>
    </w:p>
    <w:p w:rsidP="002A2AC0">
      <w:pPr>
        <w:jc w:val="both"/>
        <w:rPr>
          <w:noProof/>
        </w:rPr>
      </w:pPr>
      <w:r>
        <w:rPr>
          <w:noProof/>
        </w:rPr>
        <w:t>Artikel 9</w:t>
      </w:r>
    </w:p>
    <w:p w:rsidP="002A2AC0">
      <w:pPr>
        <w:jc w:val="both"/>
        <w:rPr>
          <w:noProof/>
        </w:rPr>
      </w:pPr>
      <w:r>
        <w:rPr>
          <w:noProof/>
        </w:rPr>
        <w:t>Het decreet van 30 mei 2008. betreffende de vestiging, de invordering en de geschillenprocedure van provincie- en gemeentebelastingen en latere wijzigingen zijn van toepassing op dit belastingreglement.</w:t>
      </w:r>
    </w:p>
    <w:p w:rsidP="002A2AC0">
      <w:pPr>
        <w:jc w:val="both"/>
        <w:rPr>
          <w:noProof/>
        </w:rPr>
      </w:pPr>
      <w:r>
        <w:rPr>
          <w:noProof/>
        </w:rPr>
        <w:t>Artikel 10</w:t>
      </w:r>
    </w:p>
    <w:p w:rsidP="002A2AC0">
      <w:pPr>
        <w:jc w:val="both"/>
        <w:rPr>
          <w:noProof/>
        </w:rPr>
      </w:pPr>
      <w:r>
        <w:rPr>
          <w:noProof/>
        </w:rPr>
        <w:t>De gemeenteraadsbeslissing van 17 december 2020 houdende goedkeuring van het gemeentereglement inzake de heffing op verwaarlozing wordt met ingang van 1 januari 2022 opgeheven en vervangen door onderhavig reglement. Onderhavig reglement treedt in voege op 1 januari 2022 en wordt bekend gemaakt overeenkomstig artikel 285 t.e.m. 287 van het decreet van 22 december 2017 over het lokaal bestuur.</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