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6.0 -->
  <w:body>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07"/>
      </w:tblGrid>
      <w:tr w14:paraId="5D738F8C" w14:textId="77777777" w:rsidTr="00D81B4F">
        <w:tblPrEx>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960"/>
        </w:trPr>
        <w:tc>
          <w:tcPr>
            <w:tcW w:w="9407" w:type="dxa"/>
            <w:vAlign w:val="center"/>
          </w:tcPr>
          <w:p w:rsidR="00C02925" w:rsidRPr="001C4A79" w:rsidP="00D81B4F" w14:paraId="163196B6" w14:textId="77777777">
            <w:pPr>
              <w:ind w:left="-397"/>
              <w:jc w:val="center"/>
              <w:rPr>
                <w:b/>
                <w:smallCaps/>
                <w:sz w:val="24"/>
                <w:szCs w:val="24"/>
              </w:rPr>
            </w:pPr>
            <w:r w:rsidRPr="001C4A79">
              <w:rPr>
                <w:b/>
                <w:smallCaps/>
                <w:sz w:val="24"/>
                <w:szCs w:val="24"/>
              </w:rPr>
              <w:t xml:space="preserve">Uittreksel uit de notulen van </w:t>
            </w:r>
            <w:r>
              <w:rPr>
                <w:b/>
                <w:smallCaps/>
                <w:sz w:val="24"/>
                <w:szCs w:val="24"/>
              </w:rPr>
              <w:t>de gemeenteraad</w:t>
            </w:r>
            <w:r w:rsidRPr="001C4A79">
              <w:rPr>
                <w:b/>
                <w:smallCaps/>
                <w:sz w:val="24"/>
                <w:szCs w:val="24"/>
              </w:rPr>
              <w:t xml:space="preserve"> van de gemeente Retie</w:t>
            </w:r>
          </w:p>
          <w:p w:rsidR="00C02925" w:rsidP="00D81B4F" w14:paraId="076F8CA7" w14:textId="77777777">
            <w:pPr>
              <w:ind w:left="-397"/>
              <w:jc w:val="center"/>
              <w:rPr>
                <w:b/>
                <w:smallCaps/>
                <w:sz w:val="24"/>
                <w:szCs w:val="24"/>
              </w:rPr>
            </w:pPr>
            <w:r w:rsidRPr="001C4A79">
              <w:rPr>
                <w:b/>
                <w:smallCaps/>
                <w:sz w:val="24"/>
                <w:szCs w:val="24"/>
              </w:rPr>
              <w:t xml:space="preserve">Zitting van </w:t>
            </w:r>
            <w:r w:rsidRPr="001C4A79">
              <w:rPr>
                <w:b/>
                <w:smallCaps/>
                <w:noProof/>
                <w:sz w:val="24"/>
                <w:szCs w:val="24"/>
              </w:rPr>
              <w:t>16 december 2021</w:t>
            </w:r>
          </w:p>
        </w:tc>
      </w:tr>
    </w:tbl>
    <w:p w:rsidR="00C02925" w:rsidRPr="00C7048E" w:rsidP="00C02925" w14:paraId="3556E67F" w14:textId="77777777">
      <w:pPr>
        <w:ind w:left="-397"/>
        <w:jc w:val="center"/>
        <w:rPr>
          <w:b/>
          <w:sz w:val="24"/>
          <w:szCs w:val="24"/>
        </w:rPr>
      </w:pPr>
    </w:p>
    <w:tbl>
      <w:tblPr>
        <w:tblStyle w:val="TableGrid"/>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tblPr>
      <w:tblGrid>
        <w:gridCol w:w="1706"/>
        <w:gridCol w:w="7932"/>
      </w:tblGrid>
      <w:tr w14:paraId="74F0BD6E" w14:textId="77777777" w:rsidTr="00D81B4F">
        <w:tblPrEx>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tblPrEx>
        <w:tc>
          <w:tcPr>
            <w:tcW w:w="1685" w:type="dxa"/>
            <w:tcMar>
              <w:left w:w="108" w:type="dxa"/>
            </w:tcMar>
            <w:vAlign w:val="center"/>
          </w:tcPr>
          <w:p w:rsidR="00C02925" w:rsidRPr="00E83489" w:rsidP="00D81B4F" w14:paraId="61D55A8B" w14:textId="77777777">
            <w:r w:rsidRPr="00E83489">
              <w:rPr>
                <w:u w:val="single"/>
              </w:rPr>
              <w:t>Aanwezig</w:t>
            </w:r>
            <w:r w:rsidRPr="00E83489">
              <w:t>:</w:t>
            </w:r>
          </w:p>
        </w:tc>
        <w:tc>
          <w:tcPr>
            <w:tcW w:w="7953" w:type="dxa"/>
            <w:tcMar>
              <w:left w:w="108" w:type="dxa"/>
            </w:tcMar>
          </w:tcPr>
          <w:p w:rsidR="00C02925" w:rsidRPr="00160002" w:rsidP="00D81B4F" w14:paraId="50FF807B" w14:textId="77777777">
            <w:r>
              <w:rPr>
                <w:noProof/>
              </w:rPr>
              <w:t>Karolien Adriaensen, Voorzitter</w:t>
            </w:r>
          </w:p>
          <w:p w:rsidP="00D81B4F">
            <w:pPr>
              <w:rPr>
                <w:noProof/>
              </w:rPr>
            </w:pPr>
            <w:r>
              <w:rPr>
                <w:noProof/>
              </w:rPr>
              <w:t>Patrick Geuens, Burgemeester</w:t>
            </w:r>
          </w:p>
          <w:p w:rsidP="00D81B4F">
            <w:pPr>
              <w:rPr>
                <w:noProof/>
              </w:rPr>
            </w:pPr>
            <w:r>
              <w:rPr>
                <w:noProof/>
              </w:rPr>
              <w:t>Koen Claessens, Fonny Matthijs, Natalie Adriaensen, Luc Janssens, Lut Hermans, Schepenen</w:t>
            </w:r>
          </w:p>
          <w:p w:rsidP="00D81B4F">
            <w:pPr>
              <w:rPr>
                <w:noProof/>
              </w:rPr>
            </w:pPr>
            <w:r>
              <w:rPr>
                <w:noProof/>
              </w:rPr>
              <w:t>Margriet Blockx, Dirk Smets, Guy Vanherck, Griet Bastiaansen, Kristel Pelckmans, Thomas Wynants, Niels Blockx, Marc Weyns, Guy Moons, Kato Slegers, Cato Hooyberghs, Bie Van der Veken, Kurt Keersmaekers, Mia Lenaerts, Raadsleden</w:t>
            </w:r>
          </w:p>
          <w:p w:rsidP="00D81B4F">
            <w:pPr>
              <w:rPr>
                <w:noProof/>
              </w:rPr>
            </w:pPr>
            <w:r>
              <w:rPr>
                <w:noProof/>
              </w:rPr>
              <w:t>Alois Noyens, Algemeen directeur</w:t>
            </w:r>
          </w:p>
        </w:tc>
      </w:tr>
      <w:tr w14:paraId="61E337F3" w14:textId="77777777" w:rsidTr="00D81B4F">
        <w:tblPrEx>
          <w:tblW w:w="0" w:type="auto"/>
          <w:tblInd w:w="-397" w:type="dxa"/>
          <w:tblCellMar>
            <w:top w:w="85" w:type="dxa"/>
            <w:left w:w="0" w:type="dxa"/>
            <w:bottom w:w="85" w:type="dxa"/>
          </w:tblCellMar>
          <w:tblLook w:val="04A0"/>
        </w:tblPrEx>
        <w:tc>
          <w:tcPr>
            <w:tcW w:w="1685" w:type="dxa"/>
            <w:tcMar>
              <w:left w:w="108" w:type="dxa"/>
            </w:tcMar>
          </w:tcPr>
          <w:p w:rsidR="00C02925" w:rsidRPr="00E83489" w:rsidP="00D81B4F" w14:paraId="52A0217E" w14:textId="77777777">
            <w:r w:rsidRPr="00E83489">
              <w:rPr>
                <w:u w:val="single"/>
              </w:rPr>
              <w:t>Verontschuldigd</w:t>
            </w:r>
            <w:r w:rsidRPr="00E83489">
              <w:t>:</w:t>
            </w:r>
          </w:p>
        </w:tc>
        <w:tc>
          <w:tcPr>
            <w:tcW w:w="7953" w:type="dxa"/>
            <w:tcMar>
              <w:left w:w="108" w:type="dxa"/>
            </w:tcMar>
          </w:tcPr>
          <w:p w:rsidR="00C02925" w:rsidRPr="00160002" w:rsidP="00D81B4F" w14:paraId="6431B46A" w14:textId="77777777">
            <w:r w:rsidRPr="00160002">
              <w:t>/</w:t>
            </w:r>
          </w:p>
        </w:tc>
      </w:tr>
    </w:tbl>
    <w:p w:rsidR="00C02925" w:rsidP="006A2EC8" w14:paraId="64E63F44" w14:textId="77777777">
      <w:pPr>
        <w:jc w:val="both"/>
      </w:pPr>
    </w:p>
    <w:p w:rsidR="00C02925" w:rsidRPr="001C4A79" w:rsidP="006A2EC8" w14:paraId="7015F34F" w14:textId="77777777">
      <w:pPr>
        <w:pStyle w:val="AgendapuntTitel"/>
        <w:jc w:val="both"/>
        <w:rPr>
          <w:b/>
        </w:rPr>
      </w:pPr>
      <w:r>
        <w:rPr>
          <w:b/>
          <w:noProof/>
        </w:rPr>
        <w:t>Gemeentebelastingen 2022</w:t>
      </w:r>
      <w:r w:rsidRPr="001C4A79">
        <w:rPr>
          <w:b/>
          <w:noProof/>
        </w:rPr>
        <w:t>: belasting op begravingen en ontgravingen.</w:t>
      </w:r>
      <w:r w:rsidRPr="001C4A79">
        <w:rPr>
          <w:b/>
          <w:noProof/>
        </w:rPr>
        <w:t xml:space="preserve"> (</w:t>
      </w:r>
      <w:r w:rsidRPr="001C4A79">
        <w:rPr>
          <w:b/>
          <w:noProof/>
        </w:rPr>
        <w:t>GR/2021/156</w:t>
      </w:r>
      <w:r w:rsidRPr="001C4A79">
        <w:rPr>
          <w:b/>
          <w:noProof/>
        </w:rPr>
        <w:t>)</w:t>
      </w:r>
    </w:p>
    <w:p w:rsidR="00C02925" w:rsidRPr="00FC3E79" w:rsidP="002A2AC0" w14:paraId="244E87AB" w14:textId="77777777">
      <w:pPr>
        <w:jc w:val="both"/>
      </w:pPr>
      <w:r>
        <w:rPr>
          <w:noProof/>
        </w:rPr>
        <w:t>Juridische grond</w:t>
      </w:r>
    </w:p>
    <w:p w:rsidP="002A2AC0">
      <w:pPr>
        <w:numPr>
          <w:ilvl w:val="0"/>
          <w:numId w:val="1"/>
        </w:numPr>
        <w:ind w:left="720" w:hanging="360"/>
        <w:jc w:val="left"/>
        <w:rPr>
          <w:noProof/>
        </w:rPr>
      </w:pPr>
      <w:r>
        <w:rPr>
          <w:noProof/>
        </w:rPr>
        <w:t>Decreet van 16 januari 2004 op de begraafplaatsen en lijkbezorging.</w:t>
      </w:r>
    </w:p>
    <w:p w:rsidP="002A2AC0">
      <w:pPr>
        <w:numPr>
          <w:ilvl w:val="0"/>
          <w:numId w:val="1"/>
        </w:numPr>
        <w:ind w:left="720" w:hanging="360"/>
        <w:jc w:val="left"/>
        <w:rPr>
          <w:noProof/>
        </w:rPr>
      </w:pPr>
      <w:r>
        <w:rPr>
          <w:noProof/>
        </w:rPr>
        <w:t>Decreet van 30 mei 2008 betreffende de vestiging, invordering en de geschillenprocedure van provincie- en gemeentebelastingen.</w:t>
      </w:r>
    </w:p>
    <w:p w:rsidP="002A2AC0">
      <w:pPr>
        <w:numPr>
          <w:ilvl w:val="0"/>
          <w:numId w:val="1"/>
        </w:numPr>
        <w:ind w:left="720" w:hanging="360"/>
        <w:jc w:val="left"/>
        <w:rPr>
          <w:noProof/>
        </w:rPr>
      </w:pPr>
      <w:r>
        <w:rPr>
          <w:noProof/>
        </w:rPr>
        <w:t>Decreet lokaal bestuur van 22 december 2017, artikel 41.</w:t>
      </w:r>
    </w:p>
    <w:p w:rsidR="00C02925" w:rsidRPr="00FC3E79" w:rsidP="002A2AC0" w14:paraId="73B776CC" w14:textId="77777777">
      <w:pPr>
        <w:jc w:val="both"/>
      </w:pPr>
      <w:r>
        <w:rPr>
          <w:noProof/>
        </w:rPr>
        <w:t>Feiten en context</w:t>
      </w:r>
    </w:p>
    <w:p w:rsidP="002A2AC0">
      <w:pPr>
        <w:jc w:val="both"/>
        <w:rPr>
          <w:noProof/>
        </w:rPr>
      </w:pPr>
      <w:r>
        <w:rPr>
          <w:noProof/>
        </w:rPr>
        <w:t>Het gewijzigde artikel 15 van het decreet van 16 januari 2004 op de begraafplaatsen en lijkbezorging bepaalt dat elkeen tijdens zijn leven vrijwillig een schriftelijke kennisgeving van zijn laatste wilsbeschikking kan overmaken aan de ambtenaar van de burgerlijke stand van zijn gemeente die handelt over de gemeente waar men wil worden begraven of de gemeente waar de as begraven, bijgezet of uitgestrooid moet worden, evenals de vermelding  van het bestaan van een uitvaartcontract.</w:t>
      </w:r>
    </w:p>
    <w:p w:rsidP="002A2AC0">
      <w:pPr>
        <w:jc w:val="both"/>
        <w:rPr>
          <w:noProof/>
        </w:rPr>
      </w:pPr>
      <w:r>
        <w:rPr>
          <w:noProof/>
        </w:rPr>
        <w:t>De belasting wordt jaarlijks geïndexeerd als volgt:</w:t>
      </w:r>
    </w:p>
    <w:p w:rsidP="002A2AC0">
      <w:pPr>
        <w:jc w:val="center"/>
        <w:rPr>
          <w:noProof/>
        </w:rPr>
      </w:pPr>
      <w:r>
        <w:rPr>
          <w:noProof/>
          <w:u w:val="single"/>
        </w:rPr>
        <w:t>basisbedrag 2020 x index september van het jaar voorafgaand aan het belastingjaar</w:t>
      </w:r>
    </w:p>
    <w:p w:rsidP="002A2AC0">
      <w:pPr>
        <w:jc w:val="center"/>
        <w:rPr>
          <w:noProof/>
        </w:rPr>
      </w:pPr>
      <w:r>
        <w:rPr>
          <w:noProof/>
        </w:rPr>
        <w:t>index september 2019</w:t>
      </w:r>
    </w:p>
    <w:p w:rsidR="00C02925" w:rsidRPr="00FC3E79" w:rsidP="002A2AC0" w14:paraId="0EAA0B81" w14:textId="77EFE38E">
      <w:pPr>
        <w:jc w:val="both"/>
      </w:pPr>
      <w:r>
        <w:rPr>
          <w:noProof/>
        </w:rPr>
        <w:t>BESLUIT</w:t>
      </w:r>
    </w:p>
    <w:p w:rsidP="002A2AC0">
      <w:pPr>
        <w:jc w:val="both"/>
        <w:rPr>
          <w:noProof/>
        </w:rPr>
      </w:pPr>
      <w:r>
        <w:rPr>
          <w:noProof/>
          <w:u w:val="single"/>
        </w:rPr>
        <w:t>Artikel 1</w:t>
      </w:r>
    </w:p>
    <w:p w:rsidP="002A2AC0">
      <w:pPr>
        <w:jc w:val="both"/>
        <w:rPr>
          <w:noProof/>
        </w:rPr>
      </w:pPr>
      <w:r>
        <w:rPr>
          <w:noProof/>
        </w:rPr>
        <w:t>Met ingang van 1 januari 2022 wordt een belasting geheven, vastgesteld als volgt:</w:t>
      </w:r>
    </w:p>
    <w:tbl>
      <w:tblPr>
        <w:tblStyle w:val="table"/>
        <w:tblW w:w="4095" w:type="dxa"/>
        <w:tblBorders>
          <w:top w:val="outset" w:sz="6" w:space="0" w:color="808080"/>
          <w:left w:val="outset" w:sz="6" w:space="0" w:color="808080"/>
          <w:bottom w:val="outset" w:sz="6" w:space="0" w:color="808080"/>
          <w:right w:val="outset" w:sz="6" w:space="0" w:color="808080"/>
        </w:tblBorders>
        <w:tblCellMar>
          <w:top w:w="0" w:type="dxa"/>
          <w:left w:w="0" w:type="dxa"/>
          <w:bottom w:w="0" w:type="dxa"/>
          <w:right w:w="0" w:type="dxa"/>
        </w:tblCellMar>
        <w:tblLook w:val="05E0"/>
      </w:tblPr>
      <w:tblGrid>
        <w:gridCol w:w="2927"/>
        <w:gridCol w:w="1138"/>
      </w:tblGrid>
      <w:tr>
        <w:tblPrEx>
          <w:tblW w:w="4095" w:type="dxa"/>
          <w:tblBorders>
            <w:top w:val="outset" w:sz="6" w:space="0" w:color="808080"/>
            <w:left w:val="outset" w:sz="6" w:space="0" w:color="808080"/>
            <w:bottom w:val="outset" w:sz="6" w:space="0" w:color="808080"/>
            <w:right w:val="outset" w:sz="6" w:space="0" w:color="808080"/>
          </w:tblBorders>
          <w:tblCellMar>
            <w:top w:w="0" w:type="dxa"/>
            <w:left w:w="0" w:type="dxa"/>
            <w:bottom w:w="0" w:type="dxa"/>
            <w:right w:w="0" w:type="dxa"/>
          </w:tblCellMar>
          <w:tblLook w:val="05E0"/>
        </w:tblPrEx>
        <w:tc>
          <w:tcPr>
            <w:tcW w:w="2985" w:type="dxa"/>
            <w:tcBorders>
              <w:bottom w:val="inset" w:sz="6" w:space="0" w:color="808080"/>
              <w:right w:val="inset" w:sz="6" w:space="0" w:color="808080"/>
            </w:tcBorders>
            <w:noWrap w:val="0"/>
            <w:tcMar>
              <w:top w:w="0" w:type="dxa"/>
              <w:left w:w="0" w:type="dxa"/>
              <w:bottom w:w="0" w:type="dxa"/>
              <w:right w:w="0" w:type="dxa"/>
            </w:tcMar>
            <w:vAlign w:val="center"/>
            <w:hideMark/>
          </w:tcPr>
          <w:p w:rsidP="002A2AC0">
            <w:pPr>
              <w:jc w:val="both"/>
              <w:rPr>
                <w:noProof/>
              </w:rPr>
            </w:pPr>
            <w:r>
              <w:rPr>
                <w:noProof/>
              </w:rPr>
              <w:t>kistbegraving</w:t>
            </w:r>
          </w:p>
        </w:tc>
        <w:tc>
          <w:tcPr>
            <w:tcW w:w="1155" w:type="dxa"/>
            <w:tcBorders>
              <w:left w:val="inset" w:sz="6" w:space="0" w:color="808080"/>
              <w:bottom w:val="inset" w:sz="6" w:space="0" w:color="808080"/>
            </w:tcBorders>
            <w:noWrap w:val="0"/>
            <w:tcMar>
              <w:top w:w="0" w:type="dxa"/>
              <w:left w:w="0" w:type="dxa"/>
              <w:bottom w:w="0" w:type="dxa"/>
              <w:right w:w="0" w:type="dxa"/>
            </w:tcMar>
            <w:vAlign w:val="bottom"/>
            <w:hideMark/>
          </w:tcPr>
          <w:p w:rsidP="002A2AC0">
            <w:pPr>
              <w:jc w:val="right"/>
              <w:rPr>
                <w:noProof/>
              </w:rPr>
            </w:pPr>
            <w:r>
              <w:rPr>
                <w:noProof/>
              </w:rPr>
              <w:t>€ 775,63</w:t>
            </w:r>
          </w:p>
        </w:tc>
      </w:tr>
      <w:tr>
        <w:tblPrEx>
          <w:tblW w:w="4095" w:type="dxa"/>
          <w:tblCellMar>
            <w:top w:w="0" w:type="dxa"/>
            <w:left w:w="0" w:type="dxa"/>
            <w:bottom w:w="0" w:type="dxa"/>
            <w:right w:w="0" w:type="dxa"/>
          </w:tblCellMar>
          <w:tblLook w:val="05E0"/>
        </w:tblPrEx>
        <w:tc>
          <w:tcPr>
            <w:tcW w:w="2985" w:type="dxa"/>
            <w:tcBorders>
              <w:top w:val="inset" w:sz="6" w:space="0" w:color="808080"/>
              <w:bottom w:val="inset" w:sz="6" w:space="0" w:color="808080"/>
              <w:right w:val="inset" w:sz="6" w:space="0" w:color="808080"/>
            </w:tcBorders>
            <w:noWrap w:val="0"/>
            <w:tcMar>
              <w:top w:w="0" w:type="dxa"/>
              <w:left w:w="0" w:type="dxa"/>
              <w:bottom w:w="0" w:type="dxa"/>
              <w:right w:w="0" w:type="dxa"/>
            </w:tcMar>
            <w:vAlign w:val="center"/>
            <w:hideMark/>
          </w:tcPr>
          <w:p w:rsidP="002A2AC0">
            <w:pPr>
              <w:jc w:val="both"/>
              <w:rPr>
                <w:noProof/>
              </w:rPr>
            </w:pPr>
            <w:r>
              <w:rPr>
                <w:noProof/>
              </w:rPr>
              <w:t>asbegraving in urneveld</w:t>
            </w:r>
          </w:p>
        </w:tc>
        <w:tc>
          <w:tcPr>
            <w:tcW w:w="1155" w:type="dxa"/>
            <w:tcBorders>
              <w:top w:val="inset" w:sz="6" w:space="0" w:color="808080"/>
              <w:left w:val="inset" w:sz="6" w:space="0" w:color="808080"/>
              <w:bottom w:val="inset" w:sz="6" w:space="0" w:color="808080"/>
            </w:tcBorders>
            <w:noWrap w:val="0"/>
            <w:tcMar>
              <w:top w:w="0" w:type="dxa"/>
              <w:left w:w="0" w:type="dxa"/>
              <w:bottom w:w="0" w:type="dxa"/>
              <w:right w:w="0" w:type="dxa"/>
            </w:tcMar>
            <w:vAlign w:val="bottom"/>
            <w:hideMark/>
          </w:tcPr>
          <w:p w:rsidP="002A2AC0">
            <w:pPr>
              <w:jc w:val="right"/>
              <w:rPr>
                <w:noProof/>
              </w:rPr>
            </w:pPr>
            <w:r>
              <w:rPr>
                <w:noProof/>
              </w:rPr>
              <w:t> € 517,08</w:t>
            </w:r>
          </w:p>
        </w:tc>
      </w:tr>
      <w:tr>
        <w:tblPrEx>
          <w:tblW w:w="4095" w:type="dxa"/>
          <w:tblCellMar>
            <w:top w:w="0" w:type="dxa"/>
            <w:left w:w="0" w:type="dxa"/>
            <w:bottom w:w="0" w:type="dxa"/>
            <w:right w:w="0" w:type="dxa"/>
          </w:tblCellMar>
          <w:tblLook w:val="05E0"/>
        </w:tblPrEx>
        <w:tc>
          <w:tcPr>
            <w:tcW w:w="2985" w:type="dxa"/>
            <w:tcBorders>
              <w:top w:val="inset" w:sz="6" w:space="0" w:color="808080"/>
              <w:bottom w:val="inset" w:sz="6" w:space="0" w:color="808080"/>
              <w:right w:val="inset" w:sz="6" w:space="0" w:color="808080"/>
            </w:tcBorders>
            <w:noWrap w:val="0"/>
            <w:tcMar>
              <w:top w:w="0" w:type="dxa"/>
              <w:left w:w="0" w:type="dxa"/>
              <w:bottom w:w="0" w:type="dxa"/>
              <w:right w:w="0" w:type="dxa"/>
            </w:tcMar>
            <w:vAlign w:val="center"/>
            <w:hideMark/>
          </w:tcPr>
          <w:p w:rsidP="002A2AC0">
            <w:pPr>
              <w:jc w:val="both"/>
              <w:rPr>
                <w:noProof/>
              </w:rPr>
            </w:pPr>
            <w:r>
              <w:rPr>
                <w:noProof/>
              </w:rPr>
              <w:t>asbijzetting in columbarium</w:t>
            </w:r>
          </w:p>
        </w:tc>
        <w:tc>
          <w:tcPr>
            <w:tcW w:w="1155" w:type="dxa"/>
            <w:tcBorders>
              <w:top w:val="inset" w:sz="6" w:space="0" w:color="808080"/>
              <w:left w:val="inset" w:sz="6" w:space="0" w:color="808080"/>
              <w:bottom w:val="inset" w:sz="6" w:space="0" w:color="808080"/>
            </w:tcBorders>
            <w:noWrap w:val="0"/>
            <w:tcMar>
              <w:top w:w="0" w:type="dxa"/>
              <w:left w:w="0" w:type="dxa"/>
              <w:bottom w:w="0" w:type="dxa"/>
              <w:right w:w="0" w:type="dxa"/>
            </w:tcMar>
            <w:vAlign w:val="bottom"/>
            <w:hideMark/>
          </w:tcPr>
          <w:p w:rsidP="002A2AC0">
            <w:pPr>
              <w:jc w:val="right"/>
              <w:rPr>
                <w:noProof/>
              </w:rPr>
            </w:pPr>
            <w:r>
              <w:rPr>
                <w:noProof/>
              </w:rPr>
              <w:t>€ </w:t>
            </w:r>
            <w:r>
              <w:rPr>
                <w:noProof/>
              </w:rPr>
              <w:t> 517,08</w:t>
            </w:r>
          </w:p>
        </w:tc>
      </w:tr>
      <w:tr>
        <w:tblPrEx>
          <w:tblW w:w="4095" w:type="dxa"/>
          <w:tblCellMar>
            <w:top w:w="0" w:type="dxa"/>
            <w:left w:w="0" w:type="dxa"/>
            <w:bottom w:w="0" w:type="dxa"/>
            <w:right w:w="0" w:type="dxa"/>
          </w:tblCellMar>
          <w:tblLook w:val="05E0"/>
        </w:tblPrEx>
        <w:tc>
          <w:tcPr>
            <w:tcW w:w="2985" w:type="dxa"/>
            <w:tcBorders>
              <w:top w:val="inset" w:sz="6" w:space="0" w:color="808080"/>
              <w:bottom w:val="inset" w:sz="6" w:space="0" w:color="808080"/>
              <w:right w:val="inset" w:sz="6" w:space="0" w:color="808080"/>
            </w:tcBorders>
            <w:noWrap w:val="0"/>
            <w:tcMar>
              <w:top w:w="0" w:type="dxa"/>
              <w:left w:w="0" w:type="dxa"/>
              <w:bottom w:w="0" w:type="dxa"/>
              <w:right w:w="0" w:type="dxa"/>
            </w:tcMar>
            <w:vAlign w:val="center"/>
            <w:hideMark/>
          </w:tcPr>
          <w:p w:rsidP="002A2AC0">
            <w:pPr>
              <w:jc w:val="both"/>
              <w:rPr>
                <w:noProof/>
              </w:rPr>
            </w:pPr>
            <w:r>
              <w:rPr>
                <w:noProof/>
              </w:rPr>
              <w:t>Asverstrooiing</w:t>
            </w:r>
          </w:p>
        </w:tc>
        <w:tc>
          <w:tcPr>
            <w:tcW w:w="1155" w:type="dxa"/>
            <w:tcBorders>
              <w:top w:val="inset" w:sz="6" w:space="0" w:color="808080"/>
              <w:left w:val="inset" w:sz="6" w:space="0" w:color="808080"/>
              <w:bottom w:val="inset" w:sz="6" w:space="0" w:color="808080"/>
            </w:tcBorders>
            <w:noWrap w:val="0"/>
            <w:tcMar>
              <w:top w:w="0" w:type="dxa"/>
              <w:left w:w="0" w:type="dxa"/>
              <w:bottom w:w="0" w:type="dxa"/>
              <w:right w:w="0" w:type="dxa"/>
            </w:tcMar>
            <w:vAlign w:val="bottom"/>
            <w:hideMark/>
          </w:tcPr>
          <w:p w:rsidP="002A2AC0">
            <w:pPr>
              <w:jc w:val="right"/>
              <w:rPr>
                <w:noProof/>
              </w:rPr>
            </w:pPr>
            <w:r>
              <w:rPr>
                <w:noProof/>
              </w:rPr>
              <w:t>€ 258,54</w:t>
            </w:r>
          </w:p>
        </w:tc>
      </w:tr>
      <w:tr>
        <w:tblPrEx>
          <w:tblW w:w="4095" w:type="dxa"/>
          <w:tblCellMar>
            <w:top w:w="0" w:type="dxa"/>
            <w:left w:w="0" w:type="dxa"/>
            <w:bottom w:w="0" w:type="dxa"/>
            <w:right w:w="0" w:type="dxa"/>
          </w:tblCellMar>
          <w:tblLook w:val="05E0"/>
        </w:tblPrEx>
        <w:tc>
          <w:tcPr>
            <w:tcW w:w="2985" w:type="dxa"/>
            <w:tcBorders>
              <w:top w:val="inset" w:sz="6" w:space="0" w:color="808080"/>
              <w:right w:val="inset" w:sz="6" w:space="0" w:color="808080"/>
            </w:tcBorders>
            <w:noWrap w:val="0"/>
            <w:tcMar>
              <w:top w:w="0" w:type="dxa"/>
              <w:left w:w="0" w:type="dxa"/>
              <w:bottom w:w="0" w:type="dxa"/>
              <w:right w:w="0" w:type="dxa"/>
            </w:tcMar>
            <w:vAlign w:val="center"/>
            <w:hideMark/>
          </w:tcPr>
          <w:p w:rsidP="002A2AC0">
            <w:pPr>
              <w:jc w:val="both"/>
              <w:rPr>
                <w:noProof/>
              </w:rPr>
            </w:pPr>
            <w:r>
              <w:rPr>
                <w:noProof/>
              </w:rPr>
              <w:t>toelating op opgraving</w:t>
            </w:r>
          </w:p>
        </w:tc>
        <w:tc>
          <w:tcPr>
            <w:tcW w:w="1155" w:type="dxa"/>
            <w:tcBorders>
              <w:top w:val="inset" w:sz="6" w:space="0" w:color="808080"/>
              <w:left w:val="inset" w:sz="6" w:space="0" w:color="808080"/>
            </w:tcBorders>
            <w:noWrap w:val="0"/>
            <w:tcMar>
              <w:top w:w="0" w:type="dxa"/>
              <w:left w:w="0" w:type="dxa"/>
              <w:bottom w:w="0" w:type="dxa"/>
              <w:right w:w="0" w:type="dxa"/>
            </w:tcMar>
            <w:vAlign w:val="bottom"/>
            <w:hideMark/>
          </w:tcPr>
          <w:p w:rsidP="002A2AC0">
            <w:pPr>
              <w:jc w:val="right"/>
              <w:rPr>
                <w:noProof/>
              </w:rPr>
            </w:pPr>
            <w:r>
              <w:rPr>
                <w:noProof/>
              </w:rPr>
              <w:t>€ 258,54</w:t>
            </w:r>
          </w:p>
        </w:tc>
      </w:tr>
    </w:tbl>
    <w:p w:rsidP="002A2AC0">
      <w:pPr>
        <w:jc w:val="both"/>
        <w:rPr>
          <w:noProof/>
        </w:rPr>
      </w:pPr>
      <w:r>
        <w:rPr>
          <w:noProof/>
          <w:u w:val="single"/>
        </w:rPr>
        <w:t>Artikel 2</w:t>
      </w:r>
    </w:p>
    <w:p w:rsidP="002A2AC0">
      <w:pPr>
        <w:jc w:val="both"/>
        <w:rPr>
          <w:noProof/>
        </w:rPr>
      </w:pPr>
      <w:r>
        <w:rPr>
          <w:noProof/>
        </w:rPr>
        <w:t>De belasting is verschuldigd door de aanvrager van de kistbegraving, asbijzetting, asverstrooiing of opgraving.</w:t>
      </w:r>
    </w:p>
    <w:p w:rsidP="002A2AC0">
      <w:pPr>
        <w:jc w:val="both"/>
        <w:rPr>
          <w:noProof/>
        </w:rPr>
      </w:pPr>
      <w:r>
        <w:rPr>
          <w:noProof/>
          <w:u w:val="single"/>
        </w:rPr>
        <w:t>Artikel 3</w:t>
      </w:r>
    </w:p>
    <w:p w:rsidP="002A2AC0">
      <w:pPr>
        <w:jc w:val="both"/>
        <w:rPr>
          <w:noProof/>
        </w:rPr>
      </w:pPr>
      <w:r>
        <w:rPr>
          <w:noProof/>
        </w:rPr>
        <w:t>De aanvrager is vrijgesteld van de belasting indien er voldaan wordt aan een van volgende voorwaarden:</w:t>
      </w:r>
    </w:p>
    <w:p w:rsidP="002A2AC0">
      <w:pPr>
        <w:numPr>
          <w:ilvl w:val="0"/>
          <w:numId w:val="2"/>
        </w:numPr>
        <w:ind w:left="720" w:hanging="360"/>
        <w:jc w:val="left"/>
        <w:rPr>
          <w:noProof/>
        </w:rPr>
      </w:pPr>
      <w:r>
        <w:rPr>
          <w:noProof/>
        </w:rPr>
        <w:t>Indien de overledene een inwoner van Retie, zijnde een persoon ingeschreven is in het bevolkingsregister, het vreemdelingenregister, het vreemdelingen- of wachtregister van de gemeente</w:t>
      </w:r>
    </w:p>
    <w:p w:rsidP="002A2AC0">
      <w:pPr>
        <w:numPr>
          <w:ilvl w:val="0"/>
          <w:numId w:val="2"/>
        </w:numPr>
        <w:ind w:left="720" w:hanging="360"/>
        <w:jc w:val="left"/>
        <w:rPr>
          <w:noProof/>
        </w:rPr>
      </w:pPr>
      <w:r>
        <w:rPr>
          <w:noProof/>
        </w:rPr>
        <w:t>Indien de overledene op het ogenblik van het overlijden geen inwoner is van Retie, maar voldoet aan volgende voorwaarden:</w:t>
      </w:r>
    </w:p>
    <w:p w:rsidP="002A2AC0">
      <w:pPr>
        <w:numPr>
          <w:ilvl w:val="1"/>
          <w:numId w:val="2"/>
        </w:numPr>
        <w:ind w:left="1440" w:hanging="360"/>
        <w:jc w:val="left"/>
        <w:rPr>
          <w:noProof/>
        </w:rPr>
      </w:pPr>
      <w:r>
        <w:rPr>
          <w:noProof/>
        </w:rPr>
        <w:t>personen die begunstigde zijn van een concessie</w:t>
      </w:r>
    </w:p>
    <w:p w:rsidP="002A2AC0">
      <w:pPr>
        <w:numPr>
          <w:ilvl w:val="1"/>
          <w:numId w:val="2"/>
        </w:numPr>
        <w:ind w:left="1440" w:hanging="360"/>
        <w:jc w:val="left"/>
        <w:rPr>
          <w:noProof/>
        </w:rPr>
      </w:pPr>
      <w:r>
        <w:rPr>
          <w:noProof/>
        </w:rPr>
        <w:t>personen die op het grondgebied van de gemeente overleden zijn of er dood werden aangetroffen</w:t>
      </w:r>
    </w:p>
    <w:p w:rsidP="002A2AC0">
      <w:pPr>
        <w:numPr>
          <w:ilvl w:val="1"/>
          <w:numId w:val="2"/>
        </w:numPr>
        <w:ind w:left="1440" w:hanging="360"/>
        <w:jc w:val="left"/>
        <w:rPr>
          <w:noProof/>
        </w:rPr>
      </w:pPr>
      <w:r>
        <w:rPr>
          <w:noProof/>
        </w:rPr>
        <w:t>personen wonend binnen een Retiese parochie, maar op het grondgebied van een aangrenzende gemeente</w:t>
      </w:r>
    </w:p>
    <w:p w:rsidP="002A2AC0">
      <w:pPr>
        <w:numPr>
          <w:ilvl w:val="1"/>
          <w:numId w:val="2"/>
        </w:numPr>
        <w:ind w:left="1440" w:hanging="360"/>
        <w:jc w:val="left"/>
        <w:rPr>
          <w:noProof/>
        </w:rPr>
      </w:pPr>
      <w:r>
        <w:rPr>
          <w:noProof/>
        </w:rPr>
        <w:t>personen die niet (meer) ingeschreven zijn in de bevolkingsregisters van de gemeente, indien:</w:t>
      </w:r>
    </w:p>
    <w:p w:rsidP="002A2AC0">
      <w:pPr>
        <w:numPr>
          <w:ilvl w:val="2"/>
          <w:numId w:val="2"/>
        </w:numPr>
        <w:ind w:left="2160" w:hanging="180"/>
        <w:jc w:val="left"/>
        <w:rPr>
          <w:noProof/>
        </w:rPr>
      </w:pPr>
      <w:r>
        <w:rPr>
          <w:noProof/>
        </w:rPr>
        <w:t>ze na datum van hun afschrijving tot aan hun overlijden, enkel naar instellingen, verzorgingstehuizen of bij familieleden tot maximaal de tweede graad of</w:t>
      </w:r>
    </w:p>
    <w:p w:rsidP="002A2AC0">
      <w:pPr>
        <w:numPr>
          <w:ilvl w:val="2"/>
          <w:numId w:val="2"/>
        </w:numPr>
        <w:ind w:left="2160" w:hanging="180"/>
        <w:jc w:val="left"/>
        <w:rPr>
          <w:noProof/>
        </w:rPr>
      </w:pPr>
      <w:r>
        <w:rPr>
          <w:noProof/>
        </w:rPr>
        <w:t>ze minstens 20 jaar in Retie hebben gewoond, al dan niet onderbroken of</w:t>
      </w:r>
    </w:p>
    <w:p w:rsidP="002A2AC0">
      <w:pPr>
        <w:numPr>
          <w:ilvl w:val="2"/>
          <w:numId w:val="2"/>
        </w:numPr>
        <w:ind w:left="2160" w:hanging="180"/>
        <w:jc w:val="left"/>
        <w:rPr>
          <w:noProof/>
        </w:rPr>
      </w:pPr>
      <w:r>
        <w:rPr>
          <w:noProof/>
        </w:rPr>
        <w:t>ze minstens de helft van hun levensjaren in Retie hebben gewoond.</w:t>
      </w:r>
    </w:p>
    <w:p w:rsidP="002A2AC0">
      <w:pPr>
        <w:jc w:val="both"/>
        <w:rPr>
          <w:noProof/>
        </w:rPr>
      </w:pPr>
      <w:r>
        <w:rPr>
          <w:noProof/>
          <w:u w:val="single"/>
        </w:rPr>
        <w:t>Artikel 4</w:t>
      </w:r>
    </w:p>
    <w:p w:rsidP="002A2AC0">
      <w:pPr>
        <w:jc w:val="both"/>
        <w:rPr>
          <w:noProof/>
        </w:rPr>
      </w:pPr>
    </w:p>
    <w:p w:rsidP="002A2AC0">
      <w:pPr>
        <w:jc w:val="both"/>
        <w:rPr>
          <w:noProof/>
        </w:rPr>
      </w:pPr>
      <w:r>
        <w:rPr>
          <w:noProof/>
        </w:rPr>
        <w:t>De vestiging en de invordering van de belasting evenals de regeling van de geschillen ter zake gebeurt volgens de modaliteiten vervat in het decreet van 30 mei 2008 betreffende de vestiging, de invorderingen en de geschillenprocedure van provincie- en gemeentebelastingen.</w:t>
      </w:r>
    </w:p>
    <w:p w:rsidP="002A2AC0">
      <w:pPr>
        <w:jc w:val="both"/>
        <w:rPr>
          <w:noProof/>
        </w:rPr>
      </w:pPr>
      <w:r>
        <w:rPr>
          <w:noProof/>
        </w:rPr>
        <w:br/>
      </w:r>
    </w:p>
    <w:tbl>
      <w:tblPr>
        <w:tblW w:w="10065" w:type="dxa"/>
        <w:tblInd w:w="-397" w:type="dxa"/>
        <w:tblLook w:val="04A0"/>
      </w:tblPr>
      <w:tblGrid>
        <w:gridCol w:w="10065"/>
      </w:tblGrid>
      <w:tr w14:paraId="58DC9A7D" w14:textId="77777777" w:rsidTr="00D81B4F">
        <w:tblPrEx>
          <w:tblW w:w="10065" w:type="dxa"/>
          <w:tblInd w:w="-397" w:type="dxa"/>
          <w:tblLook w:val="04A0"/>
        </w:tblPrEx>
        <w:trPr>
          <w:cantSplit/>
        </w:trPr>
        <w:tc>
          <w:tcPr>
            <w:tcW w:w="10065" w:type="dxa"/>
            <w:shd w:val="clear" w:color="auto" w:fill="auto"/>
          </w:tcPr>
          <w:tbl>
            <w:tblPr>
              <w:tblW w:w="9815" w:type="dxa"/>
              <w:tblLook w:val="04A0"/>
            </w:tblPr>
            <w:tblGrid>
              <w:gridCol w:w="3715"/>
              <w:gridCol w:w="2126"/>
              <w:gridCol w:w="3974"/>
            </w:tblGrid>
            <w:tr w14:paraId="325C89B8" w14:textId="77777777" w:rsidTr="00A80A7F">
              <w:tblPrEx>
                <w:tblW w:w="9815" w:type="dxa"/>
                <w:tblLook w:val="04A0"/>
              </w:tblPrEx>
              <w:tc>
                <w:tcPr>
                  <w:tcW w:w="9815" w:type="dxa"/>
                  <w:gridSpan w:val="3"/>
                  <w:shd w:val="clear" w:color="auto" w:fill="auto"/>
                </w:tcPr>
                <w:p w:rsidR="00C02925" w:rsidP="00704DBF" w14:paraId="6AE3706A" w14:textId="77777777">
                  <w:pPr>
                    <w:jc w:val="center"/>
                  </w:pPr>
                  <w:r>
                    <w:t xml:space="preserve">Namens </w:t>
                  </w:r>
                  <w:r w:rsidR="00A80A7F">
                    <w:t>de gemeenteraad</w:t>
                  </w:r>
                  <w:r>
                    <w:t>:</w:t>
                  </w:r>
                </w:p>
              </w:tc>
            </w:tr>
            <w:tr w14:paraId="254B6C64" w14:textId="77777777" w:rsidTr="00A80A7F">
              <w:tblPrEx>
                <w:tblW w:w="9815" w:type="dxa"/>
                <w:tblLook w:val="04A0"/>
              </w:tblPrEx>
              <w:tc>
                <w:tcPr>
                  <w:tcW w:w="3715" w:type="dxa"/>
                  <w:tcBorders>
                    <w:bottom w:val="single" w:sz="4" w:space="0" w:color="auto"/>
                  </w:tcBorders>
                  <w:shd w:val="clear" w:color="auto" w:fill="auto"/>
                </w:tcPr>
                <w:p w:rsidR="00C02925" w:rsidP="00D81B4F" w14:paraId="231C3163" w14:textId="77777777">
                  <w:r w:rsidRPr="008B1413">
                    <w:t xml:space="preserve">De </w:t>
                  </w:r>
                  <w:r>
                    <w:rPr>
                      <w:noProof/>
                    </w:rPr>
                    <w:t>Algemeen directeur</w:t>
                  </w:r>
                  <w:r w:rsidRPr="008B1413">
                    <w:t>,</w:t>
                  </w:r>
                </w:p>
                <w:p w:rsidR="00C02925" w:rsidRPr="008B1413" w:rsidP="00D81B4F" w14:paraId="0B9F58C4" w14:textId="77777777">
                  <w:r>
                    <w:rPr>
                      <w:noProof/>
                    </w:rPr>
                    <w:t>Alois Noyens</w:t>
                  </w:r>
                </w:p>
              </w:tc>
              <w:tc>
                <w:tcPr>
                  <w:tcW w:w="2126" w:type="dxa"/>
                  <w:tcBorders>
                    <w:bottom w:val="single" w:sz="4" w:space="0" w:color="auto"/>
                  </w:tcBorders>
                  <w:shd w:val="clear" w:color="auto" w:fill="auto"/>
                </w:tcPr>
                <w:p w:rsidR="00C02925" w:rsidRPr="008B1413" w:rsidP="00D81B4F" w14:paraId="7B1D1AB6" w14:textId="77777777"/>
              </w:tc>
              <w:tc>
                <w:tcPr>
                  <w:tcW w:w="3974" w:type="dxa"/>
                  <w:tcBorders>
                    <w:bottom w:val="single" w:sz="4" w:space="0" w:color="auto"/>
                  </w:tcBorders>
                  <w:shd w:val="clear" w:color="auto" w:fill="auto"/>
                </w:tcPr>
                <w:p w:rsidR="00C02925" w:rsidP="00D81B4F" w14:paraId="2696AB35" w14:textId="77777777">
                  <w:pPr>
                    <w:jc w:val="right"/>
                  </w:pPr>
                  <w:r w:rsidRPr="008B1413">
                    <w:t xml:space="preserve">De </w:t>
                  </w:r>
                  <w:r>
                    <w:rPr>
                      <w:noProof/>
                    </w:rPr>
                    <w:t>Voorzitter</w:t>
                  </w:r>
                  <w:r w:rsidRPr="008B1413">
                    <w:t>,</w:t>
                  </w:r>
                </w:p>
                <w:p w:rsidR="00C02925" w:rsidRPr="008B1413" w:rsidP="00D81B4F" w14:paraId="7D32EA17" w14:textId="77777777">
                  <w:pPr>
                    <w:jc w:val="right"/>
                  </w:pPr>
                  <w:r>
                    <w:rPr>
                      <w:noProof/>
                    </w:rPr>
                    <w:t>Karolien Adriaensen</w:t>
                  </w:r>
                </w:p>
              </w:tc>
            </w:tr>
            <w:tr w14:paraId="20DC4DD0" w14:textId="77777777" w:rsidTr="00A80A7F">
              <w:tblPrEx>
                <w:tblW w:w="9815" w:type="dxa"/>
                <w:tblLook w:val="04A0"/>
              </w:tblPrEx>
              <w:tc>
                <w:tcPr>
                  <w:tcW w:w="9815" w:type="dxa"/>
                  <w:gridSpan w:val="3"/>
                  <w:tcBorders>
                    <w:top w:val="single" w:sz="4" w:space="0" w:color="auto"/>
                  </w:tcBorders>
                  <w:shd w:val="clear" w:color="auto" w:fill="auto"/>
                </w:tcPr>
                <w:p w:rsidR="00C02925" w:rsidRPr="008B1413" w:rsidP="00D81B4F" w14:paraId="598A11DE" w14:textId="495A76F4">
                  <w:pPr>
                    <w:jc w:val="center"/>
                  </w:pPr>
                  <w:r>
                    <w:t>Voor éénsluidend afschrift,</w:t>
                  </w:r>
                  <w:r>
                    <w:br/>
                    <w:t xml:space="preserve">Retie, </w:t>
                  </w:r>
                  <w:r>
                    <w:fldChar w:fldCharType="begin"/>
                  </w:r>
                  <w:r>
                    <w:instrText xml:space="preserve"> DATE  \@ "d MMMM yyyy"  \* MERGEFORMAT </w:instrText>
                  </w:r>
                  <w:r>
                    <w:fldChar w:fldCharType="separate"/>
                  </w:r>
                  <w:r w:rsidR="00BE4DFC">
                    <w:rPr>
                      <w:noProof/>
                    </w:rPr>
                    <w:t>28 december 2021</w:t>
                  </w:r>
                  <w:r>
                    <w:fldChar w:fldCharType="end"/>
                  </w:r>
                </w:p>
              </w:tc>
            </w:tr>
            <w:tr w14:paraId="4692A4B1" w14:textId="77777777" w:rsidTr="00D81B4F">
              <w:tblPrEx>
                <w:tblW w:w="9815" w:type="dxa"/>
                <w:tblLook w:val="04A0"/>
              </w:tblPrEx>
              <w:tc>
                <w:tcPr>
                  <w:tcW w:w="3715" w:type="dxa"/>
                  <w:shd w:val="clear" w:color="auto" w:fill="auto"/>
                </w:tcPr>
                <w:p w:rsidR="00C02925" w:rsidP="00D81B4F" w14:paraId="3EA1E813" w14:textId="77777777">
                  <w:r>
                    <w:t xml:space="preserve">De </w:t>
                  </w:r>
                  <w:r>
                    <w:rPr>
                      <w:noProof/>
                    </w:rPr>
                    <w:t>Algemeen directeur</w:t>
                  </w:r>
                  <w:r>
                    <w:t>,</w:t>
                  </w:r>
                </w:p>
                <w:p w:rsidR="00C02925" w:rsidP="00D81B4F" w14:paraId="6450EDA1" w14:textId="77777777"/>
                <w:p w:rsidR="00C02925" w:rsidP="00D81B4F" w14:paraId="0FB91355" w14:textId="77777777"/>
                <w:p w:rsidR="00C02925" w:rsidP="00D81B4F" w14:paraId="4A274F30" w14:textId="77777777"/>
                <w:p w:rsidR="00C02925" w:rsidRPr="008B1413" w:rsidP="00D81B4F" w14:paraId="6115BDD3" w14:textId="77777777">
                  <w:r>
                    <w:rPr>
                      <w:noProof/>
                    </w:rPr>
                    <w:t>Alois Noyens</w:t>
                  </w:r>
                </w:p>
              </w:tc>
              <w:tc>
                <w:tcPr>
                  <w:tcW w:w="2126" w:type="dxa"/>
                  <w:shd w:val="clear" w:color="auto" w:fill="auto"/>
                </w:tcPr>
                <w:p w:rsidR="00C02925" w:rsidRPr="008B1413" w:rsidP="00D81B4F" w14:paraId="1A203C3E" w14:textId="77777777"/>
              </w:tc>
              <w:tc>
                <w:tcPr>
                  <w:tcW w:w="3974" w:type="dxa"/>
                  <w:shd w:val="clear" w:color="auto" w:fill="auto"/>
                </w:tcPr>
                <w:p w:rsidR="00C02925" w:rsidP="00D81B4F" w14:paraId="61B3E246" w14:textId="77777777">
                  <w:pPr>
                    <w:jc w:val="right"/>
                  </w:pPr>
                  <w:r>
                    <w:t xml:space="preserve">De </w:t>
                  </w:r>
                  <w:r>
                    <w:t>,</w:t>
                  </w:r>
                </w:p>
                <w:p w:rsidR="00C02925" w:rsidP="00D81B4F" w14:paraId="4CFC89C5" w14:textId="77777777">
                  <w:pPr>
                    <w:jc w:val="right"/>
                  </w:pPr>
                </w:p>
                <w:p w:rsidR="00C02925" w:rsidP="00D81B4F" w14:paraId="0F3E2B74" w14:textId="77777777">
                  <w:pPr>
                    <w:jc w:val="right"/>
                  </w:pPr>
                </w:p>
                <w:p w:rsidR="00C02925" w:rsidP="00D81B4F" w14:paraId="5F15AF4B" w14:textId="77777777">
                  <w:pPr>
                    <w:jc w:val="right"/>
                  </w:pPr>
                </w:p>
                <w:p w:rsidR="00C02925" w:rsidRPr="008B1413" w:rsidP="00D81B4F" w14:paraId="5DF2CC40" w14:textId="77777777">
                  <w:pPr>
                    <w:jc w:val="right"/>
                  </w:pPr>
                  <w:r>
                    <w:rPr>
                      <w:noProof/>
                    </w:rPr>
                    <w:t>Karolien Adriaensen</w:t>
                  </w:r>
                </w:p>
              </w:tc>
            </w:tr>
          </w:tbl>
          <w:p w:rsidR="00C02925" w:rsidRPr="008B1413" w:rsidP="00D81B4F" w14:paraId="02C4F44B" w14:textId="77777777"/>
        </w:tc>
      </w:tr>
    </w:tbl>
    <w:p w:rsidR="00C02925" w:rsidRPr="00C7048E" w:rsidP="00C02925" w14:paraId="221FA4ED" w14:textId="77777777">
      <w:pPr>
        <w:rPr>
          <w:rFonts w:eastAsia="Calibri"/>
        </w:rPr>
      </w:pPr>
    </w:p>
    <w:sectPr w:rsidSect="00E83489">
      <w:pgSz w:w="11906" w:h="16838"/>
      <w:pgMar w:top="1134" w:right="1134"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1">
    <w:nsid w:val="00000002"/>
    <w:multiLevelType w:val="multilevel"/>
    <w:tmpl w:val="0000000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bullet"/>
      <w:lvlText w:val=""/>
      <w:lvlJc w:val="right"/>
      <w:pPr>
        <w:ind w:left="2160" w:hanging="18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25"/>
    <w:rsid w:val="00160002"/>
    <w:rsid w:val="001C4A79"/>
    <w:rsid w:val="002A2AC0"/>
    <w:rsid w:val="00366C17"/>
    <w:rsid w:val="00383390"/>
    <w:rsid w:val="00544C3A"/>
    <w:rsid w:val="005A1A5E"/>
    <w:rsid w:val="005F39F3"/>
    <w:rsid w:val="00651EFF"/>
    <w:rsid w:val="006A2EC8"/>
    <w:rsid w:val="006A5EFD"/>
    <w:rsid w:val="006B3E88"/>
    <w:rsid w:val="00704DBF"/>
    <w:rsid w:val="007A1EFE"/>
    <w:rsid w:val="007D2868"/>
    <w:rsid w:val="008B1413"/>
    <w:rsid w:val="00A80A7F"/>
    <w:rsid w:val="00AB6759"/>
    <w:rsid w:val="00BE0BC3"/>
    <w:rsid w:val="00BE4DFC"/>
    <w:rsid w:val="00C02925"/>
    <w:rsid w:val="00C7048E"/>
    <w:rsid w:val="00D81B4F"/>
    <w:rsid w:val="00DD03B7"/>
    <w:rsid w:val="00E83489"/>
    <w:rsid w:val="00FC3E79"/>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14:docId w14:val="74B1EC94"/>
  <w15:chartTrackingRefBased/>
  <w15:docId w15:val="{4CF3B8BA-6E5A-40BD-9C39-C521B241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02925"/>
    <w:pPr>
      <w:spacing w:after="8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puntTitel">
    <w:name w:val="AgendapuntTitel"/>
    <w:basedOn w:val="Normal"/>
    <w:qFormat/>
    <w:rsid w:val="00C02925"/>
    <w:pPr>
      <w:ind w:left="-397"/>
    </w:pPr>
  </w:style>
  <w:style w:type="table" w:styleId="TableGrid">
    <w:name w:val="Table Grid"/>
    <w:basedOn w:val="TableNormal"/>
    <w:uiPriority w:val="39"/>
    <w:rsid w:val="00C0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445</Words>
  <Characters>2448</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Adriaensen</dc:creator>
  <cp:lastModifiedBy>Sandra Adriaensen</cp:lastModifiedBy>
  <cp:revision>14</cp:revision>
  <dcterms:created xsi:type="dcterms:W3CDTF">2019-07-10T07:18:00Z</dcterms:created>
  <dcterms:modified xsi:type="dcterms:W3CDTF">2019-07-10T07:54:00Z</dcterms:modified>
</cp:coreProperties>
</file>